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193C" w14:textId="77777777" w:rsidR="00CE72CE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28C4DB6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2321D8A2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808D00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32AE2426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5D0E" wp14:editId="78329D34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3C37D4D" w14:textId="77777777" w:rsidR="00B84372" w:rsidRPr="00E54801" w:rsidRDefault="00B84372" w:rsidP="00CE72CE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1DAAB5E3" w14:textId="77777777" w:rsidR="00B84372" w:rsidRPr="005E7E36" w:rsidRDefault="00B84372" w:rsidP="00CE72CE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C45D0E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23C37D4D" w14:textId="77777777" w:rsidR="00B84372" w:rsidRPr="00E54801" w:rsidRDefault="00B84372" w:rsidP="00CE72CE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1DAAB5E3" w14:textId="77777777" w:rsidR="00B84372" w:rsidRPr="005E7E36" w:rsidRDefault="00B84372" w:rsidP="00CE72CE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5DAD95E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p w14:paraId="675C9F6C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1F3864" w:themeColor="accent1" w:themeShade="80"/>
          <w:spacing w:val="-2"/>
          <w:sz w:val="24"/>
          <w:szCs w:val="24"/>
        </w:rPr>
      </w:pPr>
    </w:p>
    <w:bookmarkEnd w:id="1"/>
    <w:p w14:paraId="675CF0A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73888776" w14:textId="52370BD7" w:rsidR="00CE72CE" w:rsidRPr="00BC5481" w:rsidRDefault="00BC61E0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A9C19" wp14:editId="7AA0B900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325755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325755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A59A5" w14:textId="77777777" w:rsidR="00B84372" w:rsidRPr="009C1AFA" w:rsidRDefault="00B84372" w:rsidP="00CE7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03030"/>
                              </w:rPr>
                            </w:pPr>
                          </w:p>
                          <w:p w14:paraId="78BDDD9D" w14:textId="77777777" w:rsidR="00B84372" w:rsidRPr="009C1AFA" w:rsidRDefault="00B84372" w:rsidP="00CE72C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color w:val="303030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71809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6EBC599" w14:textId="77777777" w:rsidR="00B84372" w:rsidRPr="00116F94" w:rsidRDefault="00B84372" w:rsidP="00CE72C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 integracji w Łódzkiem</w:t>
                            </w:r>
                          </w:p>
                          <w:p w14:paraId="3E085846" w14:textId="73AB5179" w:rsidR="00B84372" w:rsidRPr="00116F94" w:rsidRDefault="00B84372" w:rsidP="00CE72C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04</w:t>
                            </w:r>
                            <w:r w:rsidRPr="00116F94">
                              <w:rPr>
                                <w:rStyle w:val="markedcontent"/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4"/>
                                <w:szCs w:val="24"/>
                              </w:rPr>
                              <w:t xml:space="preserve"> Kadry PSZ</w:t>
                            </w:r>
                          </w:p>
                          <w:p w14:paraId="0E48735F" w14:textId="77777777" w:rsidR="00B84372" w:rsidRPr="00116F94" w:rsidRDefault="00B84372" w:rsidP="00F23EF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5CAD5E3" w14:textId="4D6524BF" w:rsidR="00B84372" w:rsidRPr="00116F94" w:rsidRDefault="00B84372" w:rsidP="00F23EF5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16F94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Numer naboru: 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FELD.07.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04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-IP.01-00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1</w:t>
                            </w:r>
                            <w:r w:rsidRPr="00116F9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/2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A9C19" id="Prostokąt 3" o:spid="_x0000_s1027" style="position:absolute;left:0;text-align:left;margin-left:91.15pt;margin-top:14.8pt;width:365.75pt;height:2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MgjgIAAHIFAAAOAAAAZHJzL2Uyb0RvYy54bWysVN1v2yAQf5+0/wHxvtrJ4naL6lRRq0yT&#10;qrZaO/WZYIiRMMeAxM7++h34I11X7WGaHzBwv/vdB3d3edU1mhyE8wpMSWdnOSXCcKiU2ZX0+9Pm&#10;wydKfGCmYhqMKOlReHq1ev/usrVLMYcadCUcQRLjl60taR2CXWaZ57VomD8DKwwKJbiGBTy6XVY5&#10;1iJ7o7N5np9nLbjKOuDCe7y96YV0lfilFDzcS+lFILqk6FtIq0vrNq7Z6pItd47ZWvHBDfYPXjRM&#10;GTQ6Ud2wwMjeqT+oGsUdeJDhjEOTgZSKixQDRjPLX0XzWDMrUiyYHG+nNPn/R8vvDo/2wWEaWuuX&#10;Hrcxik66Jv7RP9KlZB2nZIkuEI6Xi/NFkc8LSjjKPs6Li6JI6cxO6tb58EVAQ+KmpA5fIyWJHW59&#10;QJMIHSHRmgetqo3SOh3cbnutHTkwfLn1+c1is4mPhSq/wbSJYANRrRfHm+wUTNqFoxYRp803IYmq&#10;0P158iTVmZjsMM6FCbNeVLNK9OaLHL/ReqzMqJF8SYSRWaL9iXsgGJE9ycjdezngo6pIZTop539z&#10;rFeeNJJlMGFSbpQB9xaBxqgGyz1+TFKfmpil0G07zA12cUTGmy1UxwdHHPRt4y3fKHzJW+bDA3PY&#10;J9hR2PvhHhepoS0pDDtKanA/37qPeCxflFLSYt+V1P/YMyco0V8NFvbn2WIRGzUdFsXFHA/upWT7&#10;UmL2zTVggcxwyliethEf9LiVDppnHBHraBVFzHC0XVIe3Hi4Dv08wCHDxXqdYNicloVb82h5JI95&#10;jpX61D0zZ4dyDtgJdzD2KFu+quoeGzUNrPcBpEolf8rr8ALY2KmUhiEUJ8fLc0KdRuXqFwAAAP//&#10;AwBQSwMEFAAGAAgAAAAhADqOglTgAAAACgEAAA8AAABkcnMvZG93bnJldi54bWxMj0FPg0AQhe8m&#10;/ofNmHizSxclLWVpqonVgx4sJl63MAUiO4vsFvDfO570+DJf3nwv2862EyMOvnWkYbmIQCCVrmqp&#10;1vBePN6sQPhgqDKdI9TwjR62+eVFZtLKTfSG4yHUgkvIp0ZDE0KfSunLBq3xC9cj8e3kBmsCx6GW&#10;1WAmLredVFGUSGta4g+N6fGhwfLzcLYa3Pgy72VUTE/Pu9dir+5jpb4+tL6+mncbEAHn8AfDrz6r&#10;Q85OR3emyouO80rFjGpQ6wQEA+tlzFuOGu5uVQIyz+T/CfkPAAAA//8DAFBLAQItABQABgAIAAAA&#10;IQC2gziS/gAAAOEBAAATAAAAAAAAAAAAAAAAAAAAAABbQ29udGVudF9UeXBlc10ueG1sUEsBAi0A&#10;FAAGAAgAAAAhADj9If/WAAAAlAEAAAsAAAAAAAAAAAAAAAAALwEAAF9yZWxzLy5yZWxzUEsBAi0A&#10;FAAGAAgAAAAhANmzMyCOAgAAcgUAAA4AAAAAAAAAAAAAAAAALgIAAGRycy9lMm9Eb2MueG1sUEsB&#10;Ai0AFAAGAAgAAAAhADqOglTgAAAACgEAAA8AAAAAAAAAAAAAAAAA6AQAAGRycy9kb3ducmV2Lnht&#10;bFBLBQYAAAAABAAEAPMAAAD1BQAAAAA=&#10;" fillcolor="#a6d4ff" stroked="f" strokeweight="1pt">
                <v:textbox>
                  <w:txbxContent>
                    <w:p w14:paraId="492A59A5" w14:textId="77777777" w:rsidR="00B84372" w:rsidRPr="009C1AFA" w:rsidRDefault="00B84372" w:rsidP="00CE72CE">
                      <w:pPr>
                        <w:jc w:val="center"/>
                        <w:rPr>
                          <w:rFonts w:ascii="Arial" w:hAnsi="Arial" w:cs="Arial"/>
                          <w:b/>
                          <w:color w:val="303030"/>
                        </w:rPr>
                      </w:pPr>
                    </w:p>
                    <w:p w14:paraId="78BDDD9D" w14:textId="77777777" w:rsidR="00B84372" w:rsidRPr="009C1AFA" w:rsidRDefault="00B84372" w:rsidP="00CE72C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color w:val="303030"/>
                          <w:sz w:val="24"/>
                          <w:szCs w:val="24"/>
                          <w:lang w:eastAsia="pl-PL"/>
                        </w:rPr>
                      </w:pPr>
                      <w:r w:rsidRPr="00171809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6EBC599" w14:textId="77777777" w:rsidR="00B84372" w:rsidRPr="00116F94" w:rsidRDefault="00B84372" w:rsidP="00CE72C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 integracji w Łódzkiem</w:t>
                      </w:r>
                    </w:p>
                    <w:p w14:paraId="3E085846" w14:textId="73AB5179" w:rsidR="00B84372" w:rsidRPr="00116F94" w:rsidRDefault="00B84372" w:rsidP="00CE72C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04</w:t>
                      </w:r>
                      <w:r w:rsidRPr="00116F94">
                        <w:rPr>
                          <w:rStyle w:val="markedcontent"/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FF"/>
                          <w:sz w:val="24"/>
                          <w:szCs w:val="24"/>
                        </w:rPr>
                        <w:t xml:space="preserve"> Kadry PSZ</w:t>
                      </w:r>
                    </w:p>
                    <w:p w14:paraId="0E48735F" w14:textId="77777777" w:rsidR="00B84372" w:rsidRPr="00116F94" w:rsidRDefault="00B84372" w:rsidP="00F23EF5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</w:p>
                    <w:p w14:paraId="05CAD5E3" w14:textId="4D6524BF" w:rsidR="00B84372" w:rsidRPr="00116F94" w:rsidRDefault="00B84372" w:rsidP="00F23EF5">
                      <w:pPr>
                        <w:spacing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16F94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 xml:space="preserve">Numer naboru: 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FELD.07.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04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-IP.01-00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1</w:t>
                      </w:r>
                      <w:r w:rsidRPr="00116F94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/2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E72CE" w:rsidRPr="00BC5481">
        <w:rPr>
          <w:rFonts w:ascii="Arial" w:hAnsi="Arial" w:cs="Arial"/>
          <w:noProof/>
          <w:color w:val="4472C4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48C5B9CB" wp14:editId="6720106C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1A96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3B8DF2FF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4FAFFB26" w14:textId="77777777" w:rsidR="00CE72CE" w:rsidRPr="00BC5481" w:rsidRDefault="00CE72CE" w:rsidP="00CE72CE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2D42CAD4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766C01AD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88941CF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34AE74B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23BFA9FB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AE8C97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1F84C3ED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35D26B3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A2856E" w14:textId="77777777" w:rsidR="00CE72CE" w:rsidRPr="00BC5481" w:rsidRDefault="00CE72CE" w:rsidP="00CE72CE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7873DC3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A593E87" w14:textId="77777777" w:rsidR="00CE72CE" w:rsidRPr="00BC5481" w:rsidRDefault="00CE72CE" w:rsidP="00CE72CE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CE72CE" w:rsidRPr="00BC5481" w:rsidSect="00CE72CE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17302971" w:displacedByCustomXml="next"/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bCs w:val="0"/>
          <w:spacing w:val="-2"/>
        </w:rPr>
      </w:sdtEndPr>
      <w:sdtContent>
        <w:p w14:paraId="5CC08EF8" w14:textId="43A41093" w:rsidR="00CE72CE" w:rsidRPr="00FB2521" w:rsidRDefault="00CE72CE" w:rsidP="008564C7">
          <w:pPr>
            <w:pStyle w:val="Nagwek1"/>
            <w:keepNext w:val="0"/>
            <w:keepLines w:val="0"/>
            <w:widowControl w:val="0"/>
            <w:numPr>
              <w:ilvl w:val="0"/>
              <w:numId w:val="58"/>
            </w:numPr>
            <w:spacing w:before="0" w:after="0" w:line="360" w:lineRule="auto"/>
            <w:ind w:left="385" w:hanging="357"/>
            <w:contextualSpacing/>
            <w:rPr>
              <w:color w:val="2E74B5" w:themeColor="accent5" w:themeShade="BF"/>
            </w:rPr>
          </w:pPr>
          <w:r w:rsidRPr="00FF717E">
            <w:rPr>
              <w:rFonts w:ascii="Arial" w:hAnsi="Arial" w:cs="Arial"/>
              <w:b/>
              <w:bCs/>
              <w:color w:val="2E74B5" w:themeColor="accent5" w:themeShade="BF"/>
              <w:sz w:val="28"/>
              <w:szCs w:val="28"/>
            </w:rPr>
            <w:t>Spis treści</w:t>
          </w:r>
          <w:bookmarkEnd w:id="2"/>
        </w:p>
        <w:p w14:paraId="5E04FD00" w14:textId="713606E1" w:rsidR="00120E5E" w:rsidRPr="00FB2521" w:rsidRDefault="00CE72CE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171809">
            <w:rPr>
              <w:spacing w:val="-2"/>
              <w:sz w:val="24"/>
              <w:szCs w:val="24"/>
            </w:rPr>
            <w:fldChar w:fldCharType="begin"/>
          </w:r>
          <w:r w:rsidRPr="00171809">
            <w:rPr>
              <w:spacing w:val="-2"/>
              <w:sz w:val="24"/>
              <w:szCs w:val="24"/>
            </w:rPr>
            <w:instrText xml:space="preserve"> TOC \o "1-3" \h \z \u </w:instrText>
          </w:r>
          <w:r w:rsidRPr="00171809">
            <w:rPr>
              <w:spacing w:val="-2"/>
              <w:sz w:val="24"/>
              <w:szCs w:val="24"/>
            </w:rPr>
            <w:fldChar w:fldCharType="separate"/>
          </w:r>
          <w:hyperlink w:anchor="_Toc217302971" w:history="1">
            <w:r w:rsidR="00120E5E" w:rsidRPr="00FB2521">
              <w:rPr>
                <w:rStyle w:val="Hipercze"/>
                <w:rFonts w:ascii="Arial" w:hAnsi="Arial" w:cs="Arial"/>
                <w:bCs/>
                <w:noProof/>
              </w:rPr>
              <w:t>1.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FB2521">
              <w:rPr>
                <w:rStyle w:val="Hipercze"/>
                <w:rFonts w:ascii="Arial" w:hAnsi="Arial" w:cs="Arial"/>
                <w:bCs/>
                <w:noProof/>
              </w:rPr>
              <w:t>Spis treści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_Toc217302971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006ADC8B" w14:textId="1AB88B92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2" w:history="1">
            <w:r w:rsidR="00120E5E" w:rsidRPr="00FB2521">
              <w:rPr>
                <w:rStyle w:val="Hipercze"/>
                <w:rFonts w:ascii="Arial" w:hAnsi="Arial" w:cs="Arial"/>
                <w:bCs/>
                <w:noProof/>
              </w:rPr>
              <w:t>2.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FB2521">
              <w:rPr>
                <w:rStyle w:val="Hipercze"/>
                <w:rFonts w:ascii="Arial" w:hAnsi="Arial" w:cs="Arial"/>
                <w:bCs/>
                <w:noProof/>
              </w:rPr>
              <w:t>Wykaz skrótów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_Toc217302972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3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1E9B776C" w14:textId="2C99C954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3" w:history="1">
            <w:r w:rsidR="00120E5E" w:rsidRPr="00FB2521">
              <w:rPr>
                <w:rStyle w:val="Hipercze"/>
                <w:rFonts w:ascii="Arial" w:hAnsi="Arial" w:cs="Arial"/>
                <w:bCs/>
                <w:noProof/>
              </w:rPr>
              <w:t>3.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FB2521">
              <w:rPr>
                <w:rStyle w:val="Hipercze"/>
                <w:rFonts w:ascii="Arial" w:hAnsi="Arial" w:cs="Arial"/>
                <w:bCs/>
                <w:noProof/>
              </w:rPr>
              <w:t>Wykaz pojęć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_Toc217302973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4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4D41232E" w14:textId="69C8ADB1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4" w:history="1"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4.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Postanowienia ogólne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_Toc217302974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7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56EF82D9" w14:textId="53F96866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5" w:history="1"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5.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Instytucja organizująca nabór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_Toc217302975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8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3D7BACFA" w14:textId="12BAC64C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6" w:history="1"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6.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Kontakt i informacje dotyczące naboru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_Toc217302976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9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4CA7CD1C" w14:textId="5E4DBB5A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7" w:history="1">
            <w:r w:rsidR="00120E5E" w:rsidRPr="00234635">
              <w:rPr>
                <w:rStyle w:val="Hipercze"/>
                <w:rFonts w:ascii="Arial" w:hAnsi="Arial" w:cs="Arial"/>
                <w:bCs/>
                <w:noProof/>
              </w:rPr>
              <w:t>7.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234635">
              <w:rPr>
                <w:rStyle w:val="Hipercze"/>
                <w:rFonts w:ascii="Arial" w:hAnsi="Arial" w:cs="Arial"/>
                <w:bCs/>
                <w:noProof/>
              </w:rPr>
              <w:t>Przedmiot naboru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_Toc217302977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9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5C74804A" w14:textId="356F5CE1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8" w:history="1">
            <w:r w:rsidR="00120E5E" w:rsidRPr="00234635">
              <w:rPr>
                <w:rStyle w:val="Hipercze"/>
                <w:rFonts w:ascii="Arial" w:hAnsi="Arial" w:cs="Arial"/>
                <w:bCs/>
                <w:noProof/>
              </w:rPr>
              <w:t>8.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Podmioty uprawnione do ubiegania się o dofinansowanie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_Toc217302978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11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7C6A7DE8" w14:textId="1FE8C76B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79" w:history="1"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9.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71809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</w:t>
            </w:r>
            <w:r w:rsidR="00120E5E" w:rsidRPr="00B84372">
              <w:rPr>
                <w:rStyle w:val="Hipercze"/>
                <w:rFonts w:ascii="Arial" w:hAnsi="Arial" w:cs="Arial"/>
                <w:bCs/>
                <w:noProof/>
              </w:rPr>
              <w:t>Grupa docelowa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_Toc217302979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11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1C6D241F" w14:textId="17915B7A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0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10.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234635">
              <w:rPr>
                <w:rStyle w:val="Hipercze"/>
                <w:rFonts w:ascii="Arial" w:hAnsi="Arial" w:cs="Arial"/>
                <w:noProof/>
              </w:rPr>
              <w:t>Zasady horyzontalne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_Toc217302980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12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220F7009" w14:textId="3E53312E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1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11.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Termin i miejsce składania wniosków o dofinansowanie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_Toc217302981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13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4549DAA4" w14:textId="3941AA4B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2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12.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Kwota przeznaczona na dofinansowanie projektu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_Toc217302982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14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3D55A975" w14:textId="62C4A433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3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13.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Kwalifikowalność wydatków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_Toc217302983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15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1A52CC37" w14:textId="60FA49E8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4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14.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Wskaźniki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_Toc217302984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17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7571243B" w14:textId="07118620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5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15.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Zasady finansowania projektu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_Toc217302985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17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1087EBDD" w14:textId="7A9FEC3D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6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16.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Podstawowe warunki i procedury konstruowania budżetu projektu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_Toc217302986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20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49703DA6" w14:textId="3378EFDA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7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17.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Pomoc publiczna i pomoc de minimis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_Toc217302987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23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71F9E444" w14:textId="64AF58F4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8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18.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Projekty partnerskie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_Toc217302988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24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1AB6F22D" w14:textId="24EB154C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89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19.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Procedura składania wniosku o dofinansowanie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_Toc217302989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24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77756A5B" w14:textId="2B033C03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0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20.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Sposób wyboru projektu i opis procedury oceny projektu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_Toc217302990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26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6E7E263C" w14:textId="0856DCEA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1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21.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234635">
              <w:rPr>
                <w:rStyle w:val="Hipercze"/>
                <w:rFonts w:ascii="Arial" w:hAnsi="Arial" w:cs="Arial"/>
                <w:noProof/>
              </w:rPr>
              <w:t>Etap 1 - ocena merytoryczna projektu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_Toc217302991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27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788DAB54" w14:textId="23D6342A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2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22.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Etap 2 - negocjacje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_Toc217302992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29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6DF2A621" w14:textId="3A1A25EB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3" w:history="1">
            <w:r w:rsidR="00120E5E" w:rsidRPr="00B84372">
              <w:rPr>
                <w:rStyle w:val="Hipercze"/>
                <w:rFonts w:ascii="Arial" w:hAnsi="Arial" w:cs="Arial"/>
                <w:noProof/>
              </w:rPr>
              <w:t>23.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Wyniki oceny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_Toc217302993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31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10DC407E" w14:textId="03F39BE5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4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24.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B84372">
              <w:rPr>
                <w:rStyle w:val="Hipercze"/>
                <w:rFonts w:ascii="Arial" w:hAnsi="Arial" w:cs="Arial"/>
                <w:noProof/>
              </w:rPr>
              <w:t>Środki odwoławcze w przypadku negatywnej oceny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_Toc217302994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33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6CA2E907" w14:textId="6DC55BFC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5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25.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234635">
              <w:rPr>
                <w:rStyle w:val="Hipercze"/>
                <w:rFonts w:ascii="Arial" w:hAnsi="Arial" w:cs="Arial"/>
                <w:noProof/>
              </w:rPr>
              <w:t>Podpisanie umowy o dofinansowanie projektu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_Toc217302995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36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40D2A7C8" w14:textId="2028C32B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6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26.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234635">
              <w:rPr>
                <w:rStyle w:val="Hipercze"/>
                <w:rFonts w:ascii="Arial" w:hAnsi="Arial" w:cs="Arial"/>
                <w:noProof/>
              </w:rPr>
              <w:t>Postanowienia końcowe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_Toc217302996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39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6C7B6F68" w14:textId="6424039C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7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27.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234635">
              <w:rPr>
                <w:rStyle w:val="Hipercze"/>
                <w:rFonts w:ascii="Arial" w:hAnsi="Arial" w:cs="Arial"/>
                <w:noProof/>
              </w:rPr>
              <w:t>Podstawy prawne i dokumenty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_Toc217302997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40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566DDB1F" w14:textId="150381DA" w:rsidR="00120E5E" w:rsidRPr="00FB2521" w:rsidRDefault="000C064F" w:rsidP="00FB2521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2998" w:history="1">
            <w:r w:rsidR="00120E5E" w:rsidRPr="00234635">
              <w:rPr>
                <w:rStyle w:val="Hipercze"/>
                <w:rFonts w:ascii="Arial" w:hAnsi="Arial" w:cs="Arial"/>
                <w:noProof/>
              </w:rPr>
              <w:t>28.</w:t>
            </w:r>
            <w:r w:rsidR="00120E5E" w:rsidRPr="00FB2521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120E5E" w:rsidRPr="00234635">
              <w:rPr>
                <w:rStyle w:val="Hipercze"/>
                <w:rFonts w:ascii="Arial" w:hAnsi="Arial" w:cs="Arial"/>
                <w:noProof/>
              </w:rPr>
              <w:t>Spis załączników</w:t>
            </w:r>
            <w:r w:rsidR="00120E5E" w:rsidRPr="00FB2521">
              <w:rPr>
                <w:noProof/>
                <w:webHidden/>
              </w:rPr>
              <w:tab/>
            </w:r>
            <w:r w:rsidR="00120E5E" w:rsidRPr="00171809">
              <w:rPr>
                <w:noProof/>
                <w:webHidden/>
              </w:rPr>
              <w:fldChar w:fldCharType="begin"/>
            </w:r>
            <w:r w:rsidR="00120E5E" w:rsidRPr="00FB2521">
              <w:rPr>
                <w:noProof/>
                <w:webHidden/>
              </w:rPr>
              <w:instrText xml:space="preserve"> PAGEREF _Toc217302998 \h </w:instrText>
            </w:r>
            <w:r w:rsidR="00120E5E" w:rsidRPr="00171809">
              <w:rPr>
                <w:noProof/>
                <w:webHidden/>
              </w:rPr>
            </w:r>
            <w:r w:rsidR="00120E5E" w:rsidRPr="00171809">
              <w:rPr>
                <w:noProof/>
                <w:webHidden/>
              </w:rPr>
              <w:fldChar w:fldCharType="separate"/>
            </w:r>
            <w:r w:rsidR="0058797C">
              <w:rPr>
                <w:noProof/>
                <w:webHidden/>
              </w:rPr>
              <w:t>42</w:t>
            </w:r>
            <w:r w:rsidR="00120E5E" w:rsidRPr="00171809">
              <w:rPr>
                <w:noProof/>
                <w:webHidden/>
              </w:rPr>
              <w:fldChar w:fldCharType="end"/>
            </w:r>
          </w:hyperlink>
        </w:p>
        <w:p w14:paraId="6A0631EE" w14:textId="4F7C154B" w:rsidR="00CE72CE" w:rsidRPr="00234635" w:rsidRDefault="00CE72CE" w:rsidP="00CE72CE">
          <w:pPr>
            <w:spacing w:after="480" w:line="360" w:lineRule="auto"/>
            <w:contextualSpacing/>
            <w:rPr>
              <w:rFonts w:ascii="Arial" w:hAnsi="Arial" w:cs="Arial"/>
              <w:spacing w:val="-2"/>
            </w:rPr>
          </w:pPr>
          <w:r w:rsidRPr="00171809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AB6695B" w14:textId="26260449" w:rsidR="00CE72CE" w:rsidRPr="007F27B8" w:rsidRDefault="00CE72CE" w:rsidP="00170028">
      <w:pPr>
        <w:pStyle w:val="Nagwek1"/>
        <w:numPr>
          <w:ilvl w:val="0"/>
          <w:numId w:val="57"/>
        </w:numPr>
        <w:spacing w:after="120"/>
        <w:ind w:left="385" w:hanging="357"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3" w:name="_Toc217302972"/>
      <w:r w:rsidRPr="007F27B8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skrótów</w:t>
      </w:r>
      <w:bookmarkEnd w:id="3"/>
    </w:p>
    <w:p w14:paraId="49B6B46A" w14:textId="244C6159" w:rsidR="008822EB" w:rsidRDefault="008822EB" w:rsidP="00CE72CE">
      <w:pPr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8822EB">
        <w:rPr>
          <w:rFonts w:ascii="Arial" w:hAnsi="Arial" w:cs="Arial"/>
          <w:b/>
          <w:spacing w:val="-2"/>
          <w:sz w:val="28"/>
          <w:szCs w:val="28"/>
        </w:rPr>
        <w:t xml:space="preserve">BK2021 </w:t>
      </w:r>
      <w:r w:rsidRPr="008822EB">
        <w:rPr>
          <w:rFonts w:ascii="Arial" w:hAnsi="Arial" w:cs="Arial"/>
          <w:bCs/>
          <w:spacing w:val="-2"/>
          <w:sz w:val="28"/>
          <w:szCs w:val="28"/>
        </w:rPr>
        <w:t xml:space="preserve">– </w:t>
      </w:r>
      <w:r w:rsidRPr="0048063E">
        <w:rPr>
          <w:rFonts w:ascii="Arial" w:hAnsi="Arial" w:cs="Arial"/>
          <w:bCs/>
          <w:spacing w:val="-2"/>
          <w:sz w:val="24"/>
          <w:szCs w:val="24"/>
        </w:rPr>
        <w:t>Baza Konkurencyjności – strona internetowa prowadzona przez ministra właściwego do spraw rozwoju regionalnego przeznaczona do zamieszczania zapytań ofertowych zgodnie z zasadą konkurencyjności (</w:t>
      </w:r>
      <w:hyperlink r:id="rId11" w:history="1">
        <w:r w:rsidRPr="0048063E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https://bazakonkurencyjnosci.funduszeeuropejskie.gov.pl/</w:t>
        </w:r>
      </w:hyperlink>
      <w:r w:rsidRPr="0048063E">
        <w:rPr>
          <w:rFonts w:ascii="Arial" w:hAnsi="Arial" w:cs="Arial"/>
          <w:bCs/>
          <w:spacing w:val="-2"/>
          <w:sz w:val="24"/>
          <w:szCs w:val="24"/>
        </w:rPr>
        <w:t>);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</w:p>
    <w:p w14:paraId="15651BA1" w14:textId="77777777" w:rsidR="005A29DE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centralny system teleinformatyczny wspierający realizację programów operacyjnych i projektów współfinansowanych z Funduszy Europejskich 2021-2027;</w:t>
      </w:r>
    </w:p>
    <w:p w14:paraId="48BE023C" w14:textId="562CF2A2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EFS+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Europejski Fundusz Społeczny Plus;</w:t>
      </w:r>
    </w:p>
    <w:p w14:paraId="3C688B31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program regionalny Fundusze Europejskie dla Łódzkiego 2021-2027;</w:t>
      </w:r>
    </w:p>
    <w:p w14:paraId="11B0B703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Organizująca Nabór – Wojewódzki Urząd Pracy w Łodzi;</w:t>
      </w:r>
    </w:p>
    <w:p w14:paraId="4369AA4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Instytucja Pośrednicząca – Wojewódzki Urząd Pracy w Łodzi;</w:t>
      </w:r>
    </w:p>
    <w:p w14:paraId="6A6C4200" w14:textId="77777777" w:rsidR="005A29DE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Instytucja Zarządzająca programem regionalnym Fundusze Europejskie dla Łódzkiego 2021-2027;</w:t>
      </w:r>
    </w:p>
    <w:p w14:paraId="1823700B" w14:textId="177479AB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Karta Oceny Merytorycznej wniosku o dofinansowanie projektu wybieranego w sposób konkurencyjny z EFS+ w ramach FEŁ2027;</w:t>
      </w:r>
    </w:p>
    <w:p w14:paraId="228E02F5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Karta oceny ogólnego kryterium podsumowującego; </w:t>
      </w:r>
    </w:p>
    <w:p w14:paraId="3D1423E1" w14:textId="580343D4" w:rsidR="00CE72CE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Komisja Oceny Projektów;</w:t>
      </w:r>
    </w:p>
    <w:p w14:paraId="7E95B1DB" w14:textId="77777777" w:rsidR="0004744D" w:rsidRDefault="00DE2BEC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</w:t>
      </w:r>
      <w:r w:rsidR="007D4AC3">
        <w:rPr>
          <w:rFonts w:ascii="Arial" w:hAnsi="Arial" w:cs="Arial"/>
          <w:spacing w:val="-2"/>
          <w:sz w:val="24"/>
          <w:szCs w:val="24"/>
        </w:rPr>
        <w:t>;</w:t>
      </w:r>
    </w:p>
    <w:p w14:paraId="74B50335" w14:textId="3CC577E7" w:rsidR="0048063E" w:rsidRPr="00BC5481" w:rsidRDefault="0048063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48063E">
        <w:rPr>
          <w:rFonts w:ascii="Arial" w:hAnsi="Arial" w:cs="Arial"/>
          <w:b/>
          <w:bCs/>
          <w:spacing w:val="-2"/>
          <w:sz w:val="28"/>
          <w:szCs w:val="28"/>
        </w:rPr>
        <w:t>SL2021 Projekty</w:t>
      </w:r>
      <w:r w:rsidRPr="0048063E">
        <w:rPr>
          <w:rFonts w:ascii="Arial" w:hAnsi="Arial" w:cs="Arial"/>
          <w:spacing w:val="-2"/>
          <w:sz w:val="24"/>
          <w:szCs w:val="24"/>
        </w:rPr>
        <w:t xml:space="preserve"> – aplikacja Centralnego systemu teleinformatycznego do obsługi procesu realizacji projektów, w tym gromadzenia i przesyłania danych dotyczących wniosków o płatność, o której mowa w Wytycznych dotyczących warunków gromadzenia i przekazywania danych w postaci elektronicznej na lata 2021-2027;</w:t>
      </w:r>
    </w:p>
    <w:p w14:paraId="48B15564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 – to aplikacja wspierająca procesy ubiegania się o środki pochodzące z Europejskiego Funduszu Społecznego Plus;</w:t>
      </w:r>
    </w:p>
    <w:p w14:paraId="5625B152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Szczegółowy Opis Priorytetów programu regionalnego FEŁ2027;</w:t>
      </w:r>
    </w:p>
    <w:p w14:paraId="7F108860" w14:textId="43B72276" w:rsidR="00CE72CE" w:rsidRDefault="00CE72CE" w:rsidP="00CE72CE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Europejska;</w:t>
      </w:r>
    </w:p>
    <w:p w14:paraId="384CD92A" w14:textId="43B72276" w:rsidR="00CE72CE" w:rsidRPr="006B49A2" w:rsidRDefault="00CE72CE" w:rsidP="00170028">
      <w:pPr>
        <w:pStyle w:val="Nagwek1"/>
        <w:keepNext w:val="0"/>
        <w:keepLines w:val="0"/>
        <w:widowControl w:val="0"/>
        <w:numPr>
          <w:ilvl w:val="0"/>
          <w:numId w:val="57"/>
        </w:numPr>
        <w:spacing w:before="0" w:after="12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4" w:name="_Toc217302973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Wykaz pojęć</w:t>
      </w:r>
      <w:bookmarkEnd w:id="4"/>
    </w:p>
    <w:p w14:paraId="2F81E7BD" w14:textId="22A48F6C" w:rsidR="00051E3C" w:rsidRPr="00BC5481" w:rsidRDefault="00CE72CE" w:rsidP="000965CD">
      <w:p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podmiot, o którym mowa w art. 2 pkt 9 rozporządzenia ogólnego;</w:t>
      </w:r>
    </w:p>
    <w:p w14:paraId="1A222327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ustawy wdrożeniowej;</w:t>
      </w:r>
    </w:p>
    <w:p w14:paraId="33F31D8D" w14:textId="4FE49A9E" w:rsidR="00CE72CE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100C8574" w14:textId="2AE6F55B" w:rsidR="0036245D" w:rsidRPr="00BC5481" w:rsidRDefault="0036245D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2392B">
        <w:rPr>
          <w:rFonts w:ascii="Arial" w:hAnsi="Arial" w:cs="Arial"/>
          <w:b/>
          <w:iCs/>
          <w:sz w:val="28"/>
          <w:szCs w:val="28"/>
        </w:rPr>
        <w:t>Instytucja Pośrednicząca</w:t>
      </w:r>
      <w:r>
        <w:rPr>
          <w:rFonts w:ascii="Arial" w:hAnsi="Arial" w:cs="Arial"/>
          <w:iCs/>
          <w:sz w:val="24"/>
          <w:szCs w:val="24"/>
        </w:rPr>
        <w:t xml:space="preserve"> – instytucja, o której mowa w art. 2 pkt 10 ustawy wdrożeniowej</w:t>
      </w:r>
      <w:r w:rsidR="00022900">
        <w:rPr>
          <w:rFonts w:ascii="Arial" w:hAnsi="Arial" w:cs="Arial"/>
          <w:iCs/>
          <w:sz w:val="24"/>
          <w:szCs w:val="24"/>
        </w:rPr>
        <w:t>;</w:t>
      </w:r>
    </w:p>
    <w:p w14:paraId="3F81457D" w14:textId="69933815" w:rsidR="00CE72CE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5D53B2C3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Projektów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ustawy wdrożeniowej;</w:t>
      </w:r>
    </w:p>
    <w:p w14:paraId="22F90FD2" w14:textId="77777777" w:rsidR="00B84372" w:rsidRDefault="0036245D" w:rsidP="000965C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E033E">
        <w:rPr>
          <w:rFonts w:ascii="Arial" w:hAnsi="Arial" w:cs="Arial"/>
          <w:b/>
          <w:bCs/>
          <w:sz w:val="28"/>
          <w:szCs w:val="28"/>
        </w:rPr>
        <w:t>kryteria wyboru projektów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kryteria umożliwiające ocenę projektu, zatwierdzone przez komitet monitorujący, o którym mowa w art. 38 rozporządzenia ogólnego</w:t>
      </w:r>
      <w:r>
        <w:rPr>
          <w:rFonts w:ascii="Arial" w:hAnsi="Arial" w:cs="Arial"/>
          <w:bCs/>
          <w:sz w:val="24"/>
          <w:szCs w:val="24"/>
        </w:rPr>
        <w:t>;</w:t>
      </w:r>
    </w:p>
    <w:p w14:paraId="3EE512CC" w14:textId="72CFA4FA" w:rsidR="0036245D" w:rsidRPr="00B84372" w:rsidRDefault="0036245D" w:rsidP="000965C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E033E">
        <w:rPr>
          <w:rFonts w:ascii="Arial" w:hAnsi="Arial" w:cs="Arial"/>
          <w:b/>
          <w:bCs/>
          <w:sz w:val="28"/>
          <w:szCs w:val="28"/>
        </w:rPr>
        <w:t xml:space="preserve">OHP </w:t>
      </w:r>
      <w:r>
        <w:rPr>
          <w:rFonts w:ascii="Arial" w:hAnsi="Arial" w:cs="Arial"/>
          <w:sz w:val="24"/>
          <w:szCs w:val="24"/>
        </w:rPr>
        <w:t>– Łódzka Wojewódzka Komenda Ochotniczych Hufców Pracy;</w:t>
      </w:r>
    </w:p>
    <w:p w14:paraId="2E922652" w14:textId="52C32470" w:rsidR="0036245D" w:rsidRDefault="0036245D" w:rsidP="000965C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E033E">
        <w:rPr>
          <w:rFonts w:ascii="Arial" w:hAnsi="Arial" w:cs="Arial"/>
          <w:b/>
          <w:bCs/>
          <w:sz w:val="28"/>
          <w:szCs w:val="28"/>
        </w:rPr>
        <w:t>osoba z niepełnosprawnością</w:t>
      </w:r>
      <w:r>
        <w:rPr>
          <w:rFonts w:ascii="Arial" w:hAnsi="Arial" w:cs="Arial"/>
          <w:sz w:val="24"/>
          <w:szCs w:val="24"/>
        </w:rPr>
        <w:t xml:space="preserve"> – osoba z niepełnosprawnością w rozumieniu wytycznych ministra właściwego do spraw rozwoju regionalnego dotyczących realizacji zasad równościowych w ramach funduszy unijnych na lata 2021–2027;</w:t>
      </w:r>
    </w:p>
    <w:p w14:paraId="3D1A8376" w14:textId="63F9F272" w:rsidR="00CE72CE" w:rsidRDefault="00CE72CE" w:rsidP="000965CD">
      <w:p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63385">
        <w:rPr>
          <w:rFonts w:ascii="Arial" w:hAnsi="Arial" w:cs="Arial"/>
          <w:b/>
          <w:spacing w:val="-2"/>
          <w:sz w:val="28"/>
          <w:szCs w:val="28"/>
        </w:rPr>
        <w:t>partner</w:t>
      </w:r>
      <w:r w:rsidRPr="00563385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Pr="00563385">
        <w:rPr>
          <w:rFonts w:ascii="Arial" w:hAnsi="Arial" w:cs="Arial"/>
          <w:spacing w:val="-2"/>
          <w:sz w:val="24"/>
          <w:szCs w:val="24"/>
        </w:rPr>
        <w:t>podmiot w rozumieniu art. 39 ustawy wdrożeniowej, który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wymieniony w zatwierdzonym wniosku o dofinansowanie projektu, realizujący wspólnie z beneficjentem (i ewentualnie innymi partnerami) projekt na warunkach określonych w umowie o dofinansowanie projektu i porozumieniu albo umowie o partnerstwie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1229439B" w14:textId="77777777" w:rsidR="007D4AC3" w:rsidRPr="00E41DE0" w:rsidRDefault="007D4AC3" w:rsidP="000965CD">
      <w:p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63385">
        <w:rPr>
          <w:rFonts w:ascii="Arial" w:hAnsi="Arial" w:cs="Arial"/>
          <w:b/>
          <w:spacing w:val="-2"/>
          <w:sz w:val="28"/>
          <w:szCs w:val="28"/>
        </w:rPr>
        <w:lastRenderedPageBreak/>
        <w:t>podmiot ekonomii społecznej (PES)</w:t>
      </w:r>
      <w:r w:rsidRPr="00563385">
        <w:t xml:space="preserve"> </w:t>
      </w:r>
      <w:r w:rsidRPr="00563385">
        <w:rPr>
          <w:rFonts w:ascii="Arial" w:hAnsi="Arial" w:cs="Arial"/>
          <w:spacing w:val="-2"/>
          <w:sz w:val="28"/>
          <w:szCs w:val="28"/>
        </w:rPr>
        <w:t>–</w:t>
      </w:r>
      <w:r w:rsidRPr="00563385">
        <w:t xml:space="preserve"> </w:t>
      </w:r>
      <w:r w:rsidRPr="00563385">
        <w:rPr>
          <w:rFonts w:ascii="Arial" w:hAnsi="Arial" w:cs="Arial"/>
          <w:spacing w:val="-2"/>
          <w:sz w:val="24"/>
          <w:szCs w:val="24"/>
        </w:rPr>
        <w:t>podmiot, o którym mowa w art. 2 pkt 5</w:t>
      </w:r>
      <w:r w:rsidRPr="00E41DE0">
        <w:rPr>
          <w:rFonts w:ascii="Arial" w:hAnsi="Arial" w:cs="Arial"/>
          <w:spacing w:val="-2"/>
          <w:sz w:val="24"/>
          <w:szCs w:val="24"/>
        </w:rPr>
        <w:t xml:space="preserve"> ustawy z dnia 5 sierpnia 2022 r. o ekonomii społecznej tj.:</w:t>
      </w:r>
    </w:p>
    <w:p w14:paraId="54135AE3" w14:textId="77777777" w:rsidR="007D4AC3" w:rsidRPr="00E41DE0" w:rsidRDefault="007D4AC3" w:rsidP="000965CD">
      <w:p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05929E8B" w14:textId="77777777" w:rsidR="007D4AC3" w:rsidRPr="00E41DE0" w:rsidRDefault="007D4AC3" w:rsidP="000965CD">
      <w:p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64D8F96F" w14:textId="77777777" w:rsidR="007D4AC3" w:rsidRPr="00E41DE0" w:rsidRDefault="007D4AC3" w:rsidP="000965CD">
      <w:p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72E60757" w14:textId="22DED0DD" w:rsidR="007D4AC3" w:rsidRPr="00E41DE0" w:rsidRDefault="007D4AC3" w:rsidP="000965CD">
      <w:p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E41DE0">
        <w:rPr>
          <w:rFonts w:ascii="Arial" w:hAnsi="Arial" w:cs="Arial"/>
          <w:spacing w:val="-2"/>
          <w:sz w:val="24"/>
          <w:szCs w:val="24"/>
        </w:rPr>
        <w:t xml:space="preserve">spółdzielnia pracy, w tym spółdzielnia inwalidów i spółdzielnia niewidomych, oraz spółdzielnia produkcji rolnej, </w:t>
      </w:r>
    </w:p>
    <w:p w14:paraId="7DB483A5" w14:textId="77777777" w:rsidR="007D4AC3" w:rsidRPr="00E41DE0" w:rsidRDefault="007D4AC3" w:rsidP="000965CD">
      <w:p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E41DE0">
        <w:rPr>
          <w:rFonts w:ascii="Arial" w:hAnsi="Arial" w:cs="Arial"/>
          <w:spacing w:val="-2"/>
          <w:sz w:val="24"/>
          <w:szCs w:val="24"/>
        </w:rPr>
        <w:t>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D6E5B2" w14:textId="3BC82AA8" w:rsidR="007D4AC3" w:rsidRPr="00BC5481" w:rsidRDefault="007D4AC3" w:rsidP="000965CD">
      <w:p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</w:t>
      </w:r>
      <w:r w:rsidR="0004744D">
        <w:rPr>
          <w:rFonts w:ascii="Arial" w:hAnsi="Arial" w:cs="Arial"/>
          <w:spacing w:val="-2"/>
          <w:sz w:val="24"/>
          <w:szCs w:val="24"/>
        </w:rPr>
        <w:t>;</w:t>
      </w:r>
    </w:p>
    <w:p w14:paraId="3D321D4F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ogólnego;</w:t>
      </w:r>
    </w:p>
    <w:p w14:paraId="469B3890" w14:textId="3FF16EBE" w:rsidR="00CE72CE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 dofinansowanie oraz rozstrzygnięcia w zakresie przyznania dofinansowania;</w:t>
      </w:r>
    </w:p>
    <w:p w14:paraId="4BD5D67C" w14:textId="7DB775E0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program regionalny, o którym mowa w art. 2 pkt </w:t>
      </w:r>
      <w:r w:rsidRPr="00517E07">
        <w:rPr>
          <w:rFonts w:ascii="Arial" w:hAnsi="Arial" w:cs="Arial"/>
          <w:iCs/>
          <w:spacing w:val="-2"/>
          <w:sz w:val="24"/>
          <w:szCs w:val="24"/>
        </w:rPr>
        <w:t>23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ustawy wdrożeniowej;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65923BA5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przedsięwzięcie, o którym mowa w art. 2 pkt 22 ustawy wdrożeniowej;</w:t>
      </w:r>
    </w:p>
    <w:p w14:paraId="73905A42" w14:textId="19F97A19" w:rsidR="0036245D" w:rsidRPr="00BC5481" w:rsidRDefault="00CE72CE" w:rsidP="000965CD">
      <w:pPr>
        <w:spacing w:after="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projekt 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(w przypadku robót budowlanych) lub w pełni zrealizowany przed przedłożeniem wniosku o dofinansowanie w ramach naboru, niezależnie od tego, czy wszystkie dotyczące tego projektu płatności zostały dokonane przez beneficjenta. Przez projekt fizycznie ukończony lub w </w:t>
      </w:r>
      <w:r w:rsidRPr="00340067">
        <w:rPr>
          <w:rFonts w:ascii="Arial" w:hAnsi="Arial" w:cs="Arial"/>
          <w:color w:val="000000"/>
          <w:spacing w:val="-2"/>
          <w:sz w:val="24"/>
          <w:szCs w:val="24"/>
        </w:rPr>
        <w:t>pełni wdrożony należy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rozumie</w:t>
      </w:r>
      <w:r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</w:t>
      </w:r>
      <w:r w:rsidRPr="007E033E">
        <w:rPr>
          <w:rFonts w:ascii="Arial" w:hAnsi="Arial" w:cs="Arial"/>
          <w:color w:val="000000"/>
          <w:spacing w:val="-2"/>
          <w:sz w:val="24"/>
          <w:szCs w:val="24"/>
        </w:rPr>
        <w:t>robót, dostaw lub usług przewidzianych do realizacji w jego zakresie rzeczowym;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14:paraId="31EC2BFB" w14:textId="60889EF0" w:rsidR="00CE72CE" w:rsidRPr="00CB1C5F" w:rsidRDefault="00CE72CE" w:rsidP="000965CD">
      <w:pPr>
        <w:spacing w:after="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110495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11049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340067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340067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CB1C5F">
        <w:rPr>
          <w:rFonts w:ascii="Arial" w:hAnsi="Arial" w:cs="Arial"/>
          <w:color w:val="000000"/>
          <w:spacing w:val="-2"/>
          <w:sz w:val="24"/>
          <w:szCs w:val="24"/>
        </w:rPr>
        <w:t>jednostka organizacyjna beneficjenta lub inny podmiot upoważniony przez beneficjenta do realizacji projektu, wskazany w umowie o dofinansowanie lub decyzji o dofinansowaniu i korzystający z CST 2021, w tym w szczególności partner;</w:t>
      </w:r>
    </w:p>
    <w:p w14:paraId="4C6004B7" w14:textId="77777777" w:rsidR="00CE72CE" w:rsidRPr="00BC5481" w:rsidRDefault="00CE72CE" w:rsidP="000965CD">
      <w:pPr>
        <w:tabs>
          <w:tab w:val="left" w:pos="520"/>
        </w:tabs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standard minimum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narzędzie używane do oceny realizacji zasady równości kobiet i mężczyzn w ramach projektów współfinansowanych z EFS+. Narzędzie to obejmuje pięć zagadnień i pomaga ocenić, czy wnioskodawca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2021-2027;</w:t>
      </w:r>
    </w:p>
    <w:p w14:paraId="1AA1B3BA" w14:textId="77777777" w:rsidR="00CE72CE" w:rsidRPr="00BC5481" w:rsidRDefault="00CE72CE" w:rsidP="000965CD">
      <w:pPr>
        <w:tabs>
          <w:tab w:val="left" w:pos="520"/>
        </w:tabs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40067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34006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40067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</w:t>
      </w:r>
      <w:r w:rsidRPr="00CB1C5F">
        <w:rPr>
          <w:rFonts w:ascii="Arial" w:hAnsi="Arial" w:cs="Arial"/>
          <w:spacing w:val="-2"/>
          <w:sz w:val="24"/>
          <w:szCs w:val="24"/>
        </w:rPr>
        <w:t>iami i osobom starszym, możliwości skorzystania zarówno z udziału w projektach, jak i z efektów ich realizacji. Dla polityki spójności na lata 2021-2027 opracowano pięć standardów: szkoleniowy, informacyjno-promocyjny, cyfrowy, architektoniczny oraz transp</w:t>
      </w:r>
      <w:r w:rsidRPr="007D4AC3">
        <w:rPr>
          <w:rFonts w:ascii="Arial" w:hAnsi="Arial" w:cs="Arial"/>
          <w:spacing w:val="-2"/>
          <w:sz w:val="24"/>
          <w:szCs w:val="24"/>
        </w:rPr>
        <w:t>ortowy. Standardy te stanowią załącznik nr 2 do Wytycznych dotyczące realizacji zasad równościowych w ramach funduszy unijnych na lata 2021-2027</w:t>
      </w:r>
      <w:r w:rsidRPr="00340067">
        <w:rPr>
          <w:rFonts w:ascii="Arial" w:hAnsi="Arial" w:cs="Arial"/>
          <w:spacing w:val="-2"/>
          <w:sz w:val="24"/>
          <w:szCs w:val="24"/>
        </w:rPr>
        <w:t>;</w:t>
      </w:r>
    </w:p>
    <w:p w14:paraId="4878B8D7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ustawy wdrożeniowej, w tym centralny system teleinformatyczny;</w:t>
      </w:r>
    </w:p>
    <w:p w14:paraId="5A57FAE1" w14:textId="6DF87F58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Szczegółowy Opis Priorytetów</w:t>
      </w:r>
      <w:r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340067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Pr="00340067">
        <w:rPr>
          <w:rFonts w:ascii="Arial" w:hAnsi="Arial" w:cs="Arial"/>
          <w:iCs/>
          <w:spacing w:val="-2"/>
          <w:sz w:val="24"/>
          <w:szCs w:val="24"/>
        </w:rPr>
        <w:t>;</w:t>
      </w:r>
      <w:r w:rsidR="00143ACF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7C405D5B" w14:textId="5411BFF4" w:rsidR="00CE72CE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mowa w art. 2 pkt 32 lit.</w:t>
      </w:r>
      <w:r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 i b ustawy wdrożeniowej;</w:t>
      </w:r>
    </w:p>
    <w:p w14:paraId="4C4A612C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podstawie których dokonuje się oceny spełniania przez ten projekt kryteriów wyboru projektów;</w:t>
      </w:r>
    </w:p>
    <w:p w14:paraId="5C7EAB3A" w14:textId="77777777" w:rsidR="00CE72C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podmiot, o którym mowa w art. 2 pkt 34 ustawy wdrożeniowej;</w:t>
      </w:r>
    </w:p>
    <w:p w14:paraId="77D91BA0" w14:textId="639F2AAE" w:rsidR="006C39FE" w:rsidRPr="00BC5481" w:rsidRDefault="00CE72CE" w:rsidP="000965CD">
      <w:pPr>
        <w:spacing w:after="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którym mowa w art. 2 pkt 38 ustawy wdrożeniowej.</w:t>
      </w:r>
    </w:p>
    <w:p w14:paraId="0E8C42AD" w14:textId="77777777" w:rsidR="00E34248" w:rsidRDefault="00E34248">
      <w:pPr>
        <w:spacing w:after="160" w:line="278" w:lineRule="auto"/>
        <w:rPr>
          <w:rFonts w:ascii="Arial" w:eastAsiaTheme="majorEastAsia" w:hAnsi="Arial" w:cs="Arial"/>
          <w:b/>
          <w:bCs/>
          <w:color w:val="2E74B5" w:themeColor="accent5" w:themeShade="BF"/>
          <w:sz w:val="28"/>
          <w:szCs w:val="28"/>
          <w:highlight w:val="lightGray"/>
        </w:rPr>
      </w:pPr>
      <w:bookmarkStart w:id="5" w:name="_Toc217302974"/>
      <w:r>
        <w:rPr>
          <w:rFonts w:ascii="Arial" w:hAnsi="Arial" w:cs="Arial"/>
          <w:b/>
          <w:bCs/>
          <w:color w:val="2E74B5" w:themeColor="accent5" w:themeShade="BF"/>
          <w:sz w:val="28"/>
          <w:szCs w:val="28"/>
          <w:highlight w:val="lightGray"/>
        </w:rPr>
        <w:br w:type="page"/>
      </w:r>
    </w:p>
    <w:p w14:paraId="5D96BCCA" w14:textId="31511480" w:rsidR="00CE72CE" w:rsidRPr="00BF702A" w:rsidRDefault="00CE72CE" w:rsidP="007C2B0C">
      <w:pPr>
        <w:pStyle w:val="Nagwek1"/>
        <w:keepNext w:val="0"/>
        <w:keepLines w:val="0"/>
        <w:widowControl w:val="0"/>
        <w:numPr>
          <w:ilvl w:val="0"/>
          <w:numId w:val="57"/>
        </w:numPr>
        <w:spacing w:before="0" w:after="12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BF702A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Postanowienia ogólne</w:t>
      </w:r>
      <w:bookmarkEnd w:id="5"/>
    </w:p>
    <w:p w14:paraId="7AD573FD" w14:textId="77777777" w:rsidR="00CE72CE" w:rsidRPr="00DD2E6B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DD2E6B">
        <w:rPr>
          <w:rFonts w:ascii="Arial" w:hAnsi="Arial" w:cs="Arial"/>
          <w:spacing w:val="-2"/>
          <w:sz w:val="24"/>
          <w:szCs w:val="24"/>
        </w:rPr>
        <w:t xml:space="preserve">W przypadku niezgodności pomiędzy przepisami prawa a Regulaminem stosuje się przepisy prawa. </w:t>
      </w:r>
    </w:p>
    <w:p w14:paraId="69CFA340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83E46">
        <w:rPr>
          <w:rFonts w:ascii="Arial" w:hAnsi="Arial" w:cs="Arial"/>
          <w:spacing w:val="-2"/>
          <w:sz w:val="24"/>
          <w:szCs w:val="24"/>
        </w:rPr>
        <w:t>W przypadku niezgodności prawa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unijnego z prawem krajowym stosuje </w:t>
      </w:r>
      <w:r w:rsidRPr="00BC5481">
        <w:rPr>
          <w:rFonts w:ascii="Arial" w:hAnsi="Arial" w:cs="Arial"/>
          <w:spacing w:val="-2"/>
          <w:sz w:val="24"/>
          <w:szCs w:val="24"/>
        </w:rPr>
        <w:br/>
        <w:t>się przepisy prawa unijnego.</w:t>
      </w:r>
    </w:p>
    <w:p w14:paraId="5DB6AF48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niezgodności pomiędzy zapisami Wytycznych a FEŁ2027 stosuje się uregulowania FEŁ2027. </w:t>
      </w:r>
    </w:p>
    <w:p w14:paraId="446F3F9D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59 ustawy wdrożeniowej do wyboru projektów do dofinansowania nie stosuje się przepisów ustawy z dnia 14 czerwca 1960 r. – Kodeks postępowania administracyjnego, z wyjątkiem art. 24 i art. 57 § 1-4, chyba że ustawa stanowi inaczej.</w:t>
      </w:r>
    </w:p>
    <w:p w14:paraId="7AE8376F" w14:textId="77777777" w:rsidR="00CE72CE" w:rsidRPr="00BC5481" w:rsidRDefault="00CE72CE" w:rsidP="008564C7">
      <w:pPr>
        <w:pStyle w:val="Akapitzlist"/>
        <w:numPr>
          <w:ilvl w:val="0"/>
          <w:numId w:val="18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wybiera projekty do dofinansowania w sposób przejrzysty, rzetelny i bezstronny. Zapewnia równy dostęp do informacji o zasadach wyboru oraz równe traktowanie wnioskodawców.</w:t>
      </w:r>
    </w:p>
    <w:p w14:paraId="39A38F84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dokumenty i informacje przygotowane w trakcie oceny projektów nie podlegają, do czasu zakończenia wyboru projektów do dofinansowania, udostępnieniu w trybie przepisów ustawy z dnia 6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września 2001 r. o dostępie do informacji publicznej oraz ustawy z dnia 3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52C58DE6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dokumenty i informacje przedstawione przez wnioskodawców nie podlegają udostępnieniu w trybie przepisów ustawy z dnia 6 września 2001 r. o dostępie do informacji publicznej oraz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3 października 2008 r. o udostępnianiu informacji o środowisku i jego ochronie, udziale społeczeństwa w ochronie środowiska oraz o ocenach oddziaływania na</w:t>
      </w:r>
      <w:r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7FE18D50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 w naborze oznacza akceptację Regulaminu, w tym zgodę na:</w:t>
      </w:r>
    </w:p>
    <w:p w14:paraId="0AF73153" w14:textId="77777777" w:rsidR="00CE72CE" w:rsidRPr="00BC5481" w:rsidRDefault="00CE72CE" w:rsidP="008564C7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oceny lub kontroli,</w:t>
      </w:r>
    </w:p>
    <w:p w14:paraId="482BE8FC" w14:textId="77777777" w:rsidR="00CE72CE" w:rsidRPr="00BC5481" w:rsidRDefault="00CE72CE" w:rsidP="008564C7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udzielanie informacji na potrzeby ewaluacji przeprowadzanych przez IZ FEŁ2027 lub inny uprawniony podmiot,</w:t>
      </w:r>
    </w:p>
    <w:p w14:paraId="5795EF5A" w14:textId="77777777" w:rsidR="00CE72CE" w:rsidRPr="00BC5481" w:rsidRDefault="00CE72CE" w:rsidP="008564C7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udostępnienie wniosku o dofinansowanie podmiotom dokonującym ewaluacji, poza informacjami chronionymi.</w:t>
      </w:r>
    </w:p>
    <w:p w14:paraId="2E0C2770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Składając wniosek w naborze wnioskodawca powinien zawiadomić ION, przed podpisaniem umowy o dofinansowanie o zmianach faktycznych i prawnych we wniosku o dofinansowanie projektu, mających wpływ na ocenę projektu.  </w:t>
      </w:r>
    </w:p>
    <w:p w14:paraId="2351C211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ma prawo do wprowadzania zmian w Regulaminie w trakcie trwania naboru. Zmiany nie mogą nierówno traktować wnioskodawców, chyba że wprowadzenie zmian wynika z przepisów powszechnie obowiązującego prawa. Po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wprowadzeniu zmian w Regulaminie informacje o tym, aktualny Regulamin, uzasadnienie oraz termin, od którego obowiązuje nowy Regulamin, ION zamieszcza na stronie internetowej </w:t>
      </w:r>
      <w:hyperlink r:id="rId12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portalu. </w:t>
      </w:r>
    </w:p>
    <w:p w14:paraId="128EB981" w14:textId="77777777" w:rsidR="00CE72CE" w:rsidRPr="00BC5481" w:rsidRDefault="00CE72CE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Zaraz po zmianie Regulaminu ION indywidualnie informuje o niej każdego wnioskodawcę, który w ramach trwającego naboru złożył już wniosek o dofinansowanie. </w:t>
      </w:r>
    </w:p>
    <w:p w14:paraId="5C531732" w14:textId="77777777" w:rsidR="00D9198B" w:rsidRPr="00BC5481" w:rsidRDefault="00D9198B" w:rsidP="008564C7">
      <w:pPr>
        <w:pStyle w:val="Akapitzlist"/>
        <w:numPr>
          <w:ilvl w:val="0"/>
          <w:numId w:val="1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może unieważnić ogłoszony nabór, jeżeli:</w:t>
      </w:r>
    </w:p>
    <w:p w14:paraId="7AADADD4" w14:textId="77777777" w:rsidR="00D9198B" w:rsidRPr="00BC5481" w:rsidRDefault="00D9198B" w:rsidP="008564C7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terminie naboru nie złożono żadnego wniosku lub</w:t>
      </w:r>
    </w:p>
    <w:p w14:paraId="73F2A7F5" w14:textId="77777777" w:rsidR="00D9198B" w:rsidRDefault="00D9198B" w:rsidP="008564C7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wystąpiła okoliczność powodująca, że wybór projektów do dofinansowania nie leży w interesie publicznym, czego nie można było wcześniej przewidzieć, lub</w:t>
      </w:r>
    </w:p>
    <w:p w14:paraId="48B816D1" w14:textId="580C0107" w:rsidR="00D9198B" w:rsidRPr="00BC5481" w:rsidRDefault="00D9198B" w:rsidP="008564C7">
      <w:pPr>
        <w:pStyle w:val="Akapitzlist"/>
        <w:numPr>
          <w:ilvl w:val="0"/>
          <w:numId w:val="1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6189F2CC" w14:textId="77777777" w:rsidR="00CE72CE" w:rsidRPr="006B49A2" w:rsidRDefault="00CE72CE" w:rsidP="000965CD">
      <w:pPr>
        <w:pStyle w:val="Nagwek1"/>
        <w:keepNext w:val="0"/>
        <w:keepLines w:val="0"/>
        <w:widowControl w:val="0"/>
        <w:numPr>
          <w:ilvl w:val="0"/>
          <w:numId w:val="60"/>
        </w:numPr>
        <w:spacing w:before="0" w:after="12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6" w:name="_Toc217302975"/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Instytucja organizująca nabór</w:t>
      </w:r>
      <w:bookmarkEnd w:id="6"/>
    </w:p>
    <w:p w14:paraId="6DE0424F" w14:textId="35E6A7F6" w:rsidR="00FE6F48" w:rsidRDefault="00CE72CE" w:rsidP="00CE72CE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Organizującą Nabór jest: Wojewódzki Urząd Pracy w Łodzi, 90-608 Łódź, ul.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1F6A2580" w14:textId="77777777" w:rsidR="00E34248" w:rsidRDefault="00E34248">
      <w:pPr>
        <w:spacing w:after="160" w:line="278" w:lineRule="auto"/>
        <w:rPr>
          <w:rFonts w:ascii="Arial" w:eastAsiaTheme="majorEastAsia" w:hAnsi="Arial" w:cs="Arial"/>
          <w:b/>
          <w:bCs/>
          <w:color w:val="2E74B5" w:themeColor="accent5" w:themeShade="BF"/>
          <w:sz w:val="28"/>
          <w:szCs w:val="28"/>
        </w:rPr>
      </w:pPr>
      <w:bookmarkStart w:id="7" w:name="_Toc217302976"/>
      <w:r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br w:type="page"/>
      </w:r>
    </w:p>
    <w:p w14:paraId="67509742" w14:textId="747DF698" w:rsidR="00CE72CE" w:rsidRPr="006B49A2" w:rsidRDefault="00CE72CE" w:rsidP="000965CD">
      <w:pPr>
        <w:pStyle w:val="Nagwek1"/>
        <w:keepNext w:val="0"/>
        <w:keepLines w:val="0"/>
        <w:widowControl w:val="0"/>
        <w:numPr>
          <w:ilvl w:val="0"/>
          <w:numId w:val="60"/>
        </w:numPr>
        <w:spacing w:before="0" w:after="12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r w:rsidRPr="006B49A2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Kontakt i informacje dotyczące naboru</w:t>
      </w:r>
      <w:bookmarkEnd w:id="7"/>
    </w:p>
    <w:p w14:paraId="19C7A2DC" w14:textId="77777777" w:rsidR="00CE72CE" w:rsidRPr="00BC5481" w:rsidRDefault="00CE72CE" w:rsidP="00CE72CE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EA2210">
        <w:rPr>
          <w:rFonts w:ascii="Arial" w:hAnsi="Arial" w:cs="Arial"/>
          <w:spacing w:val="-2"/>
          <w:sz w:val="24"/>
          <w:szCs w:val="24"/>
        </w:rPr>
        <w:t>I</w:t>
      </w:r>
      <w:r w:rsidRPr="00FC19F3">
        <w:rPr>
          <w:rFonts w:ascii="Arial" w:hAnsi="Arial" w:cs="Arial"/>
          <w:spacing w:val="-2"/>
          <w:sz w:val="24"/>
          <w:szCs w:val="24"/>
        </w:rPr>
        <w:t>nf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ormacje na temat naboru udzielane są jedynie za pośrednictwem wskazanych poniżej sposobów komunikacji.  </w:t>
      </w:r>
    </w:p>
    <w:p w14:paraId="1ABF8A45" w14:textId="212C05A2" w:rsidR="00CE72CE" w:rsidRPr="00BC5481" w:rsidRDefault="00CE72CE" w:rsidP="008564C7">
      <w:pPr>
        <w:pStyle w:val="Akapitzlist"/>
        <w:numPr>
          <w:ilvl w:val="0"/>
          <w:numId w:val="2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</w:t>
      </w:r>
      <w:r w:rsidR="00B63AD4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wyjaśnie</w:t>
      </w:r>
      <w:r w:rsidR="00B63AD4">
        <w:rPr>
          <w:rFonts w:ascii="Arial" w:hAnsi="Arial" w:cs="Arial"/>
          <w:spacing w:val="-2"/>
          <w:sz w:val="24"/>
          <w:szCs w:val="24"/>
        </w:rPr>
        <w:t>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051E3C">
        <w:rPr>
          <w:rFonts w:ascii="Arial" w:hAnsi="Arial" w:cs="Arial"/>
          <w:spacing w:val="-2"/>
          <w:sz w:val="24"/>
          <w:szCs w:val="24"/>
        </w:rPr>
        <w:t>dotycząc</w:t>
      </w:r>
      <w:r w:rsidR="00B63AD4" w:rsidRPr="00051E3C">
        <w:rPr>
          <w:rFonts w:ascii="Arial" w:hAnsi="Arial" w:cs="Arial"/>
          <w:spacing w:val="-2"/>
          <w:sz w:val="24"/>
          <w:szCs w:val="24"/>
        </w:rPr>
        <w:t>e</w:t>
      </w:r>
      <w:r w:rsidRPr="00051E3C">
        <w:rPr>
          <w:rFonts w:ascii="Arial" w:hAnsi="Arial" w:cs="Arial"/>
          <w:spacing w:val="-2"/>
          <w:sz w:val="24"/>
          <w:szCs w:val="24"/>
        </w:rPr>
        <w:t xml:space="preserve"> </w:t>
      </w:r>
      <w:r w:rsidRPr="000C0903">
        <w:rPr>
          <w:rFonts w:ascii="Arial" w:hAnsi="Arial" w:cs="Arial"/>
          <w:spacing w:val="-2"/>
          <w:sz w:val="24"/>
          <w:szCs w:val="24"/>
        </w:rPr>
        <w:t>naboru udziela</w:t>
      </w:r>
      <w:r w:rsidR="00B63AD4" w:rsidRPr="000C0903">
        <w:rPr>
          <w:rFonts w:ascii="Arial" w:hAnsi="Arial" w:cs="Arial"/>
          <w:spacing w:val="-2"/>
          <w:sz w:val="24"/>
          <w:szCs w:val="24"/>
        </w:rPr>
        <w:t xml:space="preserve">ne są </w:t>
      </w:r>
      <w:r w:rsidRPr="000C0903">
        <w:rPr>
          <w:rFonts w:ascii="Arial" w:hAnsi="Arial" w:cs="Arial"/>
          <w:spacing w:val="-2"/>
          <w:sz w:val="24"/>
          <w:szCs w:val="24"/>
        </w:rPr>
        <w:t>drogą telefoniczną</w:t>
      </w:r>
      <w:r w:rsidRPr="00051E3C">
        <w:rPr>
          <w:rFonts w:ascii="Arial" w:hAnsi="Arial" w:cs="Arial"/>
          <w:spacing w:val="-2"/>
          <w:sz w:val="24"/>
          <w:szCs w:val="24"/>
        </w:rPr>
        <w:t xml:space="preserve"> oraz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pomocą poczty elektronicznej</w:t>
      </w:r>
      <w:r w:rsidR="00036B49">
        <w:rPr>
          <w:rFonts w:ascii="Arial" w:hAnsi="Arial" w:cs="Arial"/>
          <w:spacing w:val="-2"/>
          <w:sz w:val="24"/>
          <w:szCs w:val="24"/>
        </w:rPr>
        <w:t xml:space="preserve"> przez</w:t>
      </w:r>
      <w:r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41284352" w14:textId="77777777" w:rsidR="00CE72CE" w:rsidRPr="009938ED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40AB7ADA" w14:textId="70FCBDA6" w:rsidR="00CE72CE" w:rsidRPr="009938ED" w:rsidRDefault="00CE72CE" w:rsidP="00CE72CE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 xml:space="preserve">Oddział Naboru Wniosków </w:t>
      </w:r>
      <w:r w:rsidR="00D9198B">
        <w:rPr>
          <w:rFonts w:ascii="Arial" w:hAnsi="Arial" w:cs="Arial"/>
          <w:b/>
          <w:spacing w:val="-2"/>
          <w:sz w:val="28"/>
          <w:szCs w:val="28"/>
        </w:rPr>
        <w:t>I</w:t>
      </w:r>
    </w:p>
    <w:p w14:paraId="0D94E3C7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23F2EFF5" w14:textId="7D5994D3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EA2210">
        <w:rPr>
          <w:rFonts w:ascii="Arial" w:hAnsi="Arial" w:cs="Arial"/>
          <w:spacing w:val="-2"/>
          <w:sz w:val="24"/>
          <w:szCs w:val="24"/>
        </w:rPr>
        <w:t xml:space="preserve">75/ 77/ 79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39EC595B" w14:textId="7B514F8D" w:rsidR="00CE72CE" w:rsidRPr="003F3846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color w:val="0563C1" w:themeColor="hyperlink"/>
          <w:spacing w:val="-2"/>
          <w:sz w:val="24"/>
          <w:szCs w:val="24"/>
          <w:u w:val="single"/>
          <w:lang w:val="en-GB"/>
        </w:rPr>
      </w:pPr>
      <w:r w:rsidRPr="003F3846">
        <w:rPr>
          <w:rFonts w:ascii="Arial" w:hAnsi="Arial" w:cs="Arial"/>
          <w:spacing w:val="-2"/>
          <w:sz w:val="24"/>
          <w:szCs w:val="24"/>
          <w:lang w:val="en-GB"/>
        </w:rPr>
        <w:t xml:space="preserve">e-mail: </w:t>
      </w:r>
      <w:hyperlink r:id="rId14" w:history="1">
        <w:r w:rsidR="00EA2210" w:rsidRPr="003F3846">
          <w:rPr>
            <w:rStyle w:val="Hipercze"/>
            <w:rFonts w:ascii="Arial" w:hAnsi="Arial" w:cs="Arial"/>
            <w:spacing w:val="-2"/>
            <w:sz w:val="24"/>
            <w:szCs w:val="24"/>
            <w:lang w:val="en-GB"/>
          </w:rPr>
          <w:t>nabory1@wup.lodz.pl</w:t>
        </w:r>
      </w:hyperlink>
    </w:p>
    <w:p w14:paraId="3B2CB93F" w14:textId="77777777" w:rsidR="00CE72CE" w:rsidRPr="00BC5481" w:rsidRDefault="00CE72CE" w:rsidP="00CE72CE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3DCB80C6" w14:textId="77777777" w:rsidR="00CE72CE" w:rsidRPr="00BC5481" w:rsidRDefault="00CE72CE" w:rsidP="008564C7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Odpowiedzi na pytania znajdują się w zakładce „Pytania i odpowiedzi” przy naborze na stronie internetowej </w:t>
      </w:r>
      <w:hyperlink r:id="rId1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Jeśli odpowiedź polega na odesłaniu do dokumentów lub ich zacytowaniu, nie trzeba jej publikować.  </w:t>
      </w:r>
    </w:p>
    <w:p w14:paraId="4318126F" w14:textId="77777777" w:rsidR="00CE72CE" w:rsidRPr="00BC5481" w:rsidRDefault="00CE72CE" w:rsidP="008564C7">
      <w:pPr>
        <w:pStyle w:val="Akapitzlist"/>
        <w:numPr>
          <w:ilvl w:val="0"/>
          <w:numId w:val="2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dotyczące technicznego działania aplikacji </w:t>
      </w:r>
      <w:r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udzielane są za pośrednictwem e-mail: </w:t>
      </w:r>
      <w:hyperlink r:id="rId16" w:history="1">
        <w:r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shd w:val="clear" w:color="auto" w:fill="FFFFFF"/>
        </w:rPr>
        <w:t xml:space="preserve">oraz drogą telefoniczną pod nr: </w:t>
      </w:r>
      <w:r w:rsidRPr="001D2653">
        <w:rPr>
          <w:rFonts w:ascii="Arial" w:hAnsi="Arial" w:cs="Arial"/>
          <w:spacing w:val="-2"/>
          <w:sz w:val="24"/>
          <w:szCs w:val="24"/>
        </w:rPr>
        <w:t>(42) 638 91 80.</w:t>
      </w:r>
    </w:p>
    <w:p w14:paraId="0D87F263" w14:textId="77777777" w:rsidR="00CE72CE" w:rsidRPr="00BC5481" w:rsidRDefault="00CE72CE" w:rsidP="00CE72CE">
      <w:pPr>
        <w:pStyle w:val="Akapitzlist"/>
        <w:spacing w:after="480" w:line="360" w:lineRule="auto"/>
        <w:ind w:left="28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7" w:history="1">
        <w:r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 w zakładce POMOC znajduje się „Instrukcja użytkownika SOWA EFS dla wnioskodawców/beneficjentów”.</w:t>
      </w:r>
    </w:p>
    <w:p w14:paraId="336A6D13" w14:textId="77777777" w:rsidR="00CE72CE" w:rsidRPr="006B49A2" w:rsidRDefault="00CE72CE" w:rsidP="000965CD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120" w:line="360" w:lineRule="auto"/>
        <w:ind w:left="357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</w:rPr>
      </w:pPr>
      <w:bookmarkStart w:id="8" w:name="_Hlk116992566"/>
      <w:bookmarkStart w:id="9" w:name="_Toc217302977"/>
      <w:r w:rsidRPr="006B49A2">
        <w:rPr>
          <w:rFonts w:ascii="Arial" w:hAnsi="Arial" w:cs="Arial"/>
          <w:b/>
          <w:bCs/>
          <w:color w:val="2E74B5" w:themeColor="accent5" w:themeShade="BF"/>
          <w:sz w:val="28"/>
        </w:rPr>
        <w:t>Przedmiot naboru</w:t>
      </w:r>
      <w:bookmarkEnd w:id="8"/>
      <w:bookmarkEnd w:id="9"/>
    </w:p>
    <w:p w14:paraId="7ED8803B" w14:textId="52BC4DAC" w:rsidR="00A02516" w:rsidRDefault="00CE72CE" w:rsidP="00A02516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Style w:val="markedcontent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Wybór projektów do dofinansowania prowadzony jest w sposób konkurencyjny. Wybierane są projekty, które najbardziej przyczyniają się do osiągnięcia celu </w:t>
      </w:r>
      <w:r w:rsidRPr="00586D20">
        <w:rPr>
          <w:rFonts w:ascii="Arial" w:hAnsi="Arial" w:cs="Arial"/>
          <w:spacing w:val="-2"/>
          <w:sz w:val="24"/>
          <w:szCs w:val="24"/>
        </w:rPr>
        <w:t xml:space="preserve">szczegółowego określonego dla </w:t>
      </w:r>
      <w:r w:rsidRPr="00586D20">
        <w:rPr>
          <w:rFonts w:ascii="Arial" w:hAnsi="Arial" w:cs="Arial"/>
          <w:bCs/>
          <w:spacing w:val="-2"/>
          <w:sz w:val="24"/>
          <w:szCs w:val="24"/>
        </w:rPr>
        <w:t>Działania</w:t>
      </w:r>
      <w:r w:rsidRPr="00586D20">
        <w:rPr>
          <w:rFonts w:ascii="Arial" w:hAnsi="Arial" w:cs="Arial"/>
          <w:spacing w:val="-2"/>
          <w:sz w:val="24"/>
          <w:szCs w:val="24"/>
        </w:rPr>
        <w:t xml:space="preserve"> </w:t>
      </w:r>
      <w:r w:rsidRPr="00586D20">
        <w:rPr>
          <w:rFonts w:ascii="Arial" w:hAnsi="Arial" w:cs="Arial"/>
          <w:bCs/>
          <w:spacing w:val="-2"/>
          <w:sz w:val="24"/>
          <w:szCs w:val="24"/>
        </w:rPr>
        <w:t>FELD.</w:t>
      </w:r>
      <w:r w:rsidRPr="00586D20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AC25A6" w:rsidRPr="00586D20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04</w:t>
      </w:r>
      <w:r w:rsidR="00BC61E0" w:rsidRPr="00586D2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25A6" w:rsidRPr="00F7307C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Kadry PSZ</w:t>
      </w:r>
      <w:r w:rsidRPr="00F7307C">
        <w:rPr>
          <w:rStyle w:val="markedcontent"/>
          <w:spacing w:val="-2"/>
          <w:sz w:val="24"/>
          <w:szCs w:val="24"/>
        </w:rPr>
        <w:t xml:space="preserve">. </w:t>
      </w:r>
    </w:p>
    <w:p w14:paraId="56BFFABB" w14:textId="0261D943" w:rsidR="000F4F44" w:rsidRPr="00A02516" w:rsidRDefault="00B63AD4" w:rsidP="00A02516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spacing w:val="-2"/>
          <w:sz w:val="24"/>
          <w:szCs w:val="24"/>
        </w:rPr>
      </w:pPr>
      <w:r w:rsidRPr="00A02516">
        <w:rPr>
          <w:rFonts w:ascii="Arial" w:hAnsi="Arial" w:cs="Arial"/>
          <w:spacing w:val="-2"/>
          <w:sz w:val="24"/>
          <w:szCs w:val="24"/>
        </w:rPr>
        <w:t xml:space="preserve">Działanie ukierunkowane </w:t>
      </w:r>
      <w:r w:rsidR="000F4F44" w:rsidRPr="00A02516">
        <w:rPr>
          <w:rFonts w:ascii="Arial" w:hAnsi="Arial" w:cs="Arial"/>
          <w:spacing w:val="-2"/>
          <w:sz w:val="24"/>
          <w:szCs w:val="24"/>
        </w:rPr>
        <w:t xml:space="preserve">jest </w:t>
      </w:r>
      <w:r w:rsidRPr="00A02516">
        <w:rPr>
          <w:rFonts w:ascii="Arial" w:hAnsi="Arial" w:cs="Arial"/>
          <w:spacing w:val="-2"/>
          <w:sz w:val="24"/>
          <w:szCs w:val="24"/>
        </w:rPr>
        <w:t xml:space="preserve">na </w:t>
      </w:r>
      <w:r w:rsidR="00AC25A6" w:rsidRPr="00A02516">
        <w:rPr>
          <w:rFonts w:ascii="Arial" w:hAnsi="Arial" w:cs="Arial"/>
          <w:spacing w:val="-2"/>
          <w:sz w:val="24"/>
          <w:szCs w:val="24"/>
        </w:rPr>
        <w:t>modernizacj</w:t>
      </w:r>
      <w:r w:rsidRPr="00A02516">
        <w:rPr>
          <w:rFonts w:ascii="Arial" w:hAnsi="Arial" w:cs="Arial"/>
          <w:spacing w:val="-2"/>
          <w:sz w:val="24"/>
          <w:szCs w:val="24"/>
        </w:rPr>
        <w:t>ę</w:t>
      </w:r>
      <w:r w:rsidR="00AC25A6" w:rsidRPr="00A02516">
        <w:rPr>
          <w:rFonts w:ascii="Arial" w:hAnsi="Arial" w:cs="Arial"/>
          <w:spacing w:val="-2"/>
          <w:sz w:val="24"/>
          <w:szCs w:val="24"/>
        </w:rPr>
        <w:t xml:space="preserve"> instytucji i służb rynków pracy celem</w:t>
      </w:r>
      <w:r w:rsidR="00AC25A6" w:rsidRPr="00A02516">
        <w:rPr>
          <w:rFonts w:ascii="Arial" w:hAnsi="Arial" w:cs="Arial"/>
          <w:sz w:val="24"/>
          <w:szCs w:val="24"/>
        </w:rPr>
        <w:t xml:space="preserve"> oceny i przewidywania zapotrzebowania na umiejętności oraz </w:t>
      </w:r>
      <w:r w:rsidR="00AC25A6" w:rsidRPr="00A02516">
        <w:rPr>
          <w:rFonts w:ascii="Arial" w:hAnsi="Arial" w:cs="Arial"/>
          <w:sz w:val="24"/>
          <w:szCs w:val="24"/>
        </w:rPr>
        <w:lastRenderedPageBreak/>
        <w:t>zapewnienia terminowej i odpowiednio dopasowanej pomocy i wsparcia na rzecz dostosowania umiejętności i kwalifikacji zawodowych do potrzeb rynku pracy oraz na rzecz przepływów i mobilności na rynku pracy.</w:t>
      </w:r>
    </w:p>
    <w:p w14:paraId="249D0591" w14:textId="3A551E04" w:rsidR="00751E5D" w:rsidRPr="004F326C" w:rsidRDefault="000F4F44" w:rsidP="008564C7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F4F44">
        <w:rPr>
          <w:rFonts w:ascii="Arial" w:hAnsi="Arial" w:cs="Arial"/>
          <w:sz w:val="24"/>
          <w:szCs w:val="24"/>
        </w:rPr>
        <w:t xml:space="preserve">W naborze możliwa jest realizacja typu projektu: </w:t>
      </w:r>
      <w:bookmarkStart w:id="10" w:name="_Hlk210201563"/>
    </w:p>
    <w:p w14:paraId="79E78295" w14:textId="22E60791" w:rsidR="00CE72CE" w:rsidRPr="000F4F44" w:rsidRDefault="00AC25A6" w:rsidP="007E033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4F326C">
        <w:rPr>
          <w:rFonts w:ascii="Arial" w:hAnsi="Arial" w:cs="Arial"/>
          <w:b/>
          <w:sz w:val="28"/>
          <w:szCs w:val="28"/>
        </w:rPr>
        <w:t>Wsparcie rozwoju kompetencji pracowników publicznych służb zatrudnienia, w tym pracowników świadczących usługi w</w:t>
      </w:r>
      <w:r w:rsidR="00A02516">
        <w:rPr>
          <w:rFonts w:ascii="Arial" w:hAnsi="Arial" w:cs="Arial"/>
          <w:b/>
          <w:sz w:val="28"/>
          <w:szCs w:val="28"/>
        </w:rPr>
        <w:t> </w:t>
      </w:r>
      <w:r w:rsidRPr="004F326C">
        <w:rPr>
          <w:rFonts w:ascii="Arial" w:hAnsi="Arial" w:cs="Arial"/>
          <w:b/>
          <w:sz w:val="28"/>
          <w:szCs w:val="28"/>
        </w:rPr>
        <w:t>ramach sieci EURES, wynikających z potrzeb regionalnego lub lokalnego rynku pracy</w:t>
      </w:r>
      <w:bookmarkEnd w:id="10"/>
      <w:r w:rsidR="000F4F44" w:rsidRPr="000F4F44">
        <w:rPr>
          <w:rFonts w:ascii="Arial" w:hAnsi="Arial" w:cs="Arial"/>
          <w:sz w:val="24"/>
          <w:szCs w:val="24"/>
        </w:rPr>
        <w:t>.</w:t>
      </w:r>
    </w:p>
    <w:p w14:paraId="75D3EB2C" w14:textId="0B28C7EB" w:rsidR="00BC61E0" w:rsidRPr="00BC61E0" w:rsidRDefault="00E5341E" w:rsidP="008564C7">
      <w:pPr>
        <w:pStyle w:val="Akapitzlist"/>
        <w:numPr>
          <w:ilvl w:val="0"/>
          <w:numId w:val="23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="000F4F44" w:rsidRPr="004012A2">
        <w:rPr>
          <w:rFonts w:ascii="Arial" w:hAnsi="Arial" w:cs="Arial"/>
          <w:bCs/>
          <w:sz w:val="24"/>
          <w:szCs w:val="24"/>
        </w:rPr>
        <w:t>odzaje przedsięwzięć, możliw</w:t>
      </w:r>
      <w:r w:rsidR="000F4F44">
        <w:rPr>
          <w:rFonts w:ascii="Arial" w:hAnsi="Arial" w:cs="Arial"/>
          <w:bCs/>
          <w:sz w:val="24"/>
          <w:szCs w:val="24"/>
        </w:rPr>
        <w:t>e</w:t>
      </w:r>
      <w:r w:rsidR="000F4F44" w:rsidRPr="004012A2">
        <w:rPr>
          <w:rFonts w:ascii="Arial" w:hAnsi="Arial" w:cs="Arial"/>
          <w:bCs/>
          <w:sz w:val="24"/>
          <w:szCs w:val="24"/>
        </w:rPr>
        <w:t xml:space="preserve"> do realizacji w ramach projektu</w:t>
      </w:r>
      <w:r w:rsidR="00BC61E0">
        <w:rPr>
          <w:rFonts w:ascii="Arial" w:hAnsi="Arial" w:cs="Arial"/>
          <w:bCs/>
          <w:sz w:val="24"/>
          <w:szCs w:val="24"/>
        </w:rPr>
        <w:t>:</w:t>
      </w:r>
      <w:r w:rsidR="000F4F44">
        <w:rPr>
          <w:rFonts w:ascii="Arial" w:hAnsi="Arial" w:cs="Arial"/>
          <w:bCs/>
          <w:sz w:val="24"/>
          <w:szCs w:val="24"/>
        </w:rPr>
        <w:t xml:space="preserve"> </w:t>
      </w:r>
      <w:bookmarkStart w:id="11" w:name="_Hlk210201665"/>
    </w:p>
    <w:p w14:paraId="62A226B2" w14:textId="6BE47E10" w:rsidR="00BC61E0" w:rsidRPr="00377FCD" w:rsidRDefault="00A02516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586D20" w:rsidRPr="00377FCD">
        <w:rPr>
          <w:rFonts w:ascii="Arial" w:hAnsi="Arial" w:cs="Arial"/>
          <w:bCs/>
          <w:sz w:val="24"/>
          <w:szCs w:val="24"/>
        </w:rPr>
        <w:t>arsztaty</w:t>
      </w:r>
      <w:r>
        <w:rPr>
          <w:rFonts w:ascii="Arial" w:hAnsi="Arial" w:cs="Arial"/>
          <w:bCs/>
          <w:sz w:val="24"/>
          <w:szCs w:val="24"/>
        </w:rPr>
        <w:t>,</w:t>
      </w:r>
      <w:r w:rsidR="00BC61E0" w:rsidRPr="00377FCD">
        <w:rPr>
          <w:rFonts w:ascii="Arial" w:hAnsi="Arial" w:cs="Arial"/>
          <w:sz w:val="24"/>
          <w:szCs w:val="24"/>
        </w:rPr>
        <w:t xml:space="preserve"> </w:t>
      </w:r>
    </w:p>
    <w:p w14:paraId="01B3540F" w14:textId="495644DB" w:rsidR="00BC61E0" w:rsidRPr="00377FCD" w:rsidRDefault="00A02516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586D20" w:rsidRPr="00377FCD">
        <w:rPr>
          <w:rFonts w:ascii="Arial" w:hAnsi="Arial" w:cs="Arial"/>
          <w:bCs/>
          <w:sz w:val="24"/>
          <w:szCs w:val="24"/>
        </w:rPr>
        <w:t>ursy</w:t>
      </w:r>
      <w:r>
        <w:rPr>
          <w:rFonts w:ascii="Arial" w:hAnsi="Arial" w:cs="Arial"/>
          <w:bCs/>
          <w:sz w:val="24"/>
          <w:szCs w:val="24"/>
        </w:rPr>
        <w:t>,</w:t>
      </w:r>
    </w:p>
    <w:p w14:paraId="57AC6B4F" w14:textId="0D9C65FF" w:rsidR="00BC61E0" w:rsidRPr="00377FCD" w:rsidRDefault="00751E5D" w:rsidP="008564C7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7FCD">
        <w:rPr>
          <w:rFonts w:ascii="Arial" w:hAnsi="Arial" w:cs="Arial"/>
          <w:bCs/>
          <w:sz w:val="24"/>
          <w:szCs w:val="24"/>
        </w:rPr>
        <w:t>S</w:t>
      </w:r>
      <w:r w:rsidR="00586D20" w:rsidRPr="00377FCD">
        <w:rPr>
          <w:rFonts w:ascii="Arial" w:hAnsi="Arial" w:cs="Arial"/>
          <w:bCs/>
          <w:sz w:val="24"/>
          <w:szCs w:val="24"/>
        </w:rPr>
        <w:t>zkolenia</w:t>
      </w:r>
      <w:r w:rsidR="00A02516">
        <w:rPr>
          <w:rFonts w:ascii="Arial" w:hAnsi="Arial" w:cs="Arial"/>
          <w:bCs/>
          <w:sz w:val="24"/>
          <w:szCs w:val="24"/>
        </w:rPr>
        <w:t>,</w:t>
      </w:r>
      <w:r w:rsidR="00BC61E0" w:rsidRPr="00377FCD">
        <w:rPr>
          <w:rFonts w:ascii="Arial" w:hAnsi="Arial" w:cs="Arial"/>
          <w:sz w:val="24"/>
          <w:szCs w:val="24"/>
        </w:rPr>
        <w:t xml:space="preserve"> </w:t>
      </w:r>
    </w:p>
    <w:p w14:paraId="48B2681E" w14:textId="44019259" w:rsidR="000F4F44" w:rsidRPr="00377FCD" w:rsidRDefault="00751E5D" w:rsidP="007E033E">
      <w:pPr>
        <w:pStyle w:val="Akapitzlist"/>
        <w:numPr>
          <w:ilvl w:val="0"/>
          <w:numId w:val="6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7FCD">
        <w:rPr>
          <w:rFonts w:ascii="Arial" w:hAnsi="Arial" w:cs="Arial"/>
          <w:bCs/>
          <w:sz w:val="24"/>
          <w:szCs w:val="24"/>
        </w:rPr>
        <w:t>S</w:t>
      </w:r>
      <w:r w:rsidR="00586D20" w:rsidRPr="00377FCD">
        <w:rPr>
          <w:rFonts w:ascii="Arial" w:hAnsi="Arial" w:cs="Arial"/>
          <w:bCs/>
          <w:sz w:val="24"/>
          <w:szCs w:val="24"/>
        </w:rPr>
        <w:t>tudia podyplomowe</w:t>
      </w:r>
      <w:bookmarkEnd w:id="11"/>
      <w:r w:rsidR="00A02516">
        <w:rPr>
          <w:rFonts w:ascii="Arial" w:hAnsi="Arial" w:cs="Arial"/>
          <w:bCs/>
          <w:sz w:val="24"/>
          <w:szCs w:val="24"/>
        </w:rPr>
        <w:t>.</w:t>
      </w:r>
    </w:p>
    <w:p w14:paraId="2423376A" w14:textId="6E99CF2B" w:rsidR="00FE72A8" w:rsidRPr="00173414" w:rsidRDefault="00F7307C" w:rsidP="00A02516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FD16E7">
        <w:rPr>
          <w:rFonts w:ascii="Arial" w:hAnsi="Arial" w:cs="Arial"/>
          <w:sz w:val="24"/>
          <w:szCs w:val="24"/>
        </w:rPr>
        <w:t xml:space="preserve">Zgodnie ze </w:t>
      </w:r>
      <w:r w:rsidRPr="00385D14">
        <w:rPr>
          <w:rFonts w:ascii="Arial" w:hAnsi="Arial" w:cs="Arial"/>
          <w:sz w:val="24"/>
          <w:szCs w:val="24"/>
        </w:rPr>
        <w:t xml:space="preserve">specyficznym kryterium merytorycznym nr 2 „Diagnoza potrzeb” </w:t>
      </w:r>
      <w:r w:rsidRPr="00751C0F">
        <w:rPr>
          <w:rFonts w:ascii="Arial" w:hAnsi="Arial" w:cs="Arial"/>
          <w:b/>
          <w:sz w:val="28"/>
          <w:szCs w:val="28"/>
        </w:rPr>
        <w:t>wnioskodawca w formie deklaracji zapewnia, że wsparcie dotyczące rozwoju kwalifikacji pracowników PSZ zaplanowano na podstawie diagnozy potrzeb lokalnego rynku pracy</w:t>
      </w:r>
      <w:r w:rsidRPr="00751C0F">
        <w:rPr>
          <w:rFonts w:ascii="Arial" w:hAnsi="Arial" w:cs="Arial"/>
          <w:sz w:val="28"/>
          <w:szCs w:val="28"/>
        </w:rPr>
        <w:t>.</w:t>
      </w:r>
    </w:p>
    <w:p w14:paraId="704D75DB" w14:textId="6A0B48C0" w:rsidR="00F7307C" w:rsidRPr="00B84372" w:rsidRDefault="00F7307C" w:rsidP="00A02516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bCs/>
          <w:sz w:val="28"/>
          <w:szCs w:val="28"/>
        </w:rPr>
      </w:pPr>
      <w:r w:rsidRPr="00FE72A8">
        <w:rPr>
          <w:rFonts w:ascii="Arial" w:hAnsi="Arial" w:cs="Arial"/>
          <w:sz w:val="24"/>
          <w:szCs w:val="24"/>
        </w:rPr>
        <w:t xml:space="preserve">Zgodnie ze specyficznym kryterium merytorycznym nr 4 „Linia demarkacyjna” </w:t>
      </w:r>
      <w:r w:rsidRPr="00751C0F">
        <w:rPr>
          <w:rFonts w:ascii="Arial" w:hAnsi="Arial" w:cs="Arial"/>
          <w:b/>
          <w:sz w:val="28"/>
          <w:szCs w:val="28"/>
        </w:rPr>
        <w:t>wnioskodawca w formie deklaracji zapewnia, że wsparcie w</w:t>
      </w:r>
      <w:r w:rsidR="00A02516">
        <w:rPr>
          <w:rFonts w:ascii="Arial" w:hAnsi="Arial" w:cs="Arial"/>
          <w:b/>
          <w:sz w:val="28"/>
          <w:szCs w:val="28"/>
        </w:rPr>
        <w:t> </w:t>
      </w:r>
      <w:r w:rsidRPr="00751C0F">
        <w:rPr>
          <w:rFonts w:ascii="Arial" w:hAnsi="Arial" w:cs="Arial"/>
          <w:b/>
          <w:sz w:val="28"/>
          <w:szCs w:val="28"/>
        </w:rPr>
        <w:t xml:space="preserve">ramach projektu nie jest tożsame z działaniami w ramach programu Fundusze Europejskie dla Rozwoju Społecznego 2021-2027 w zakresie rozwoju </w:t>
      </w:r>
      <w:r w:rsidRPr="00B84372">
        <w:rPr>
          <w:rFonts w:ascii="Arial" w:hAnsi="Arial" w:cs="Arial"/>
          <w:b/>
          <w:sz w:val="28"/>
          <w:szCs w:val="28"/>
        </w:rPr>
        <w:t>kwalifikacji pracowników PSZ.</w:t>
      </w:r>
      <w:r w:rsidR="00DF7838" w:rsidRPr="00B84372">
        <w:rPr>
          <w:rFonts w:ascii="Arial" w:hAnsi="Arial" w:cs="Arial"/>
          <w:sz w:val="28"/>
          <w:szCs w:val="28"/>
        </w:rPr>
        <w:t xml:space="preserve"> </w:t>
      </w:r>
    </w:p>
    <w:p w14:paraId="03E6D144" w14:textId="449D9114" w:rsidR="000965CD" w:rsidRDefault="00FE72A8" w:rsidP="00A02516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b/>
          <w:bCs/>
          <w:iCs/>
          <w:sz w:val="28"/>
          <w:szCs w:val="28"/>
        </w:rPr>
      </w:pPr>
      <w:bookmarkStart w:id="12" w:name="_Hlk228344309"/>
      <w:r w:rsidRPr="00B84372">
        <w:rPr>
          <w:rFonts w:ascii="Arial" w:hAnsi="Arial" w:cs="Arial"/>
          <w:bCs/>
          <w:sz w:val="24"/>
          <w:szCs w:val="24"/>
        </w:rPr>
        <w:t xml:space="preserve">Zgodnie ze specyficznym kryterium merytorycznym nr 5 „Szkolenia grupowe” </w:t>
      </w:r>
      <w:r w:rsidRPr="00B84372">
        <w:rPr>
          <w:rFonts w:ascii="Arial" w:hAnsi="Arial" w:cs="Arial"/>
          <w:b/>
          <w:bCs/>
          <w:sz w:val="28"/>
          <w:szCs w:val="28"/>
        </w:rPr>
        <w:t>jedną z form wsparcia stanowią szkolenia grupowe (min. 5</w:t>
      </w:r>
      <w:r w:rsidR="00A02516">
        <w:rPr>
          <w:rFonts w:ascii="Arial" w:hAnsi="Arial" w:cs="Arial"/>
          <w:b/>
          <w:bCs/>
          <w:sz w:val="28"/>
          <w:szCs w:val="28"/>
        </w:rPr>
        <w:t> </w:t>
      </w:r>
      <w:r w:rsidRPr="00B84372">
        <w:rPr>
          <w:rFonts w:ascii="Arial" w:hAnsi="Arial" w:cs="Arial"/>
          <w:b/>
          <w:bCs/>
          <w:sz w:val="28"/>
          <w:szCs w:val="28"/>
        </w:rPr>
        <w:t xml:space="preserve">osób) </w:t>
      </w:r>
      <w:r w:rsidR="00B84372" w:rsidRPr="000C0903">
        <w:rPr>
          <w:rFonts w:ascii="Arial" w:hAnsi="Arial" w:cs="Arial"/>
          <w:b/>
          <w:bCs/>
          <w:iCs/>
          <w:sz w:val="28"/>
          <w:szCs w:val="28"/>
        </w:rPr>
        <w:t>mające na celu podniesienie kwalifikacji pracowników PSZ</w:t>
      </w:r>
      <w:bookmarkEnd w:id="12"/>
      <w:r w:rsidR="00173414" w:rsidRPr="000C0903"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6BD380B5" w14:textId="77777777" w:rsidR="000965CD" w:rsidRDefault="000965CD">
      <w:pPr>
        <w:spacing w:after="160" w:line="278" w:lineRule="auto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31990DD7" w14:textId="6C8A9BA8" w:rsidR="00CE72CE" w:rsidRPr="00385D14" w:rsidRDefault="00CE72CE" w:rsidP="000965CD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12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3" w:name="_Hlk116992579"/>
      <w:bookmarkStart w:id="14" w:name="_Toc217302978"/>
      <w:r w:rsidRPr="000C0903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lastRenderedPageBreak/>
        <w:t>Podm</w:t>
      </w:r>
      <w:r w:rsidRPr="00385D14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ioty uprawnione do ubiegania się o dofinansowanie</w:t>
      </w:r>
      <w:bookmarkEnd w:id="13"/>
      <w:bookmarkEnd w:id="14"/>
    </w:p>
    <w:p w14:paraId="7A8DBCF7" w14:textId="576D02F6" w:rsidR="00F7307C" w:rsidRPr="004F326C" w:rsidRDefault="00BC61E0" w:rsidP="00234635">
      <w:pPr>
        <w:pStyle w:val="Akapitzlist"/>
        <w:numPr>
          <w:ilvl w:val="0"/>
          <w:numId w:val="68"/>
        </w:numPr>
        <w:spacing w:after="12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0B07E7">
        <w:rPr>
          <w:rFonts w:ascii="Arial" w:hAnsi="Arial" w:cs="Arial"/>
          <w:sz w:val="24"/>
          <w:szCs w:val="24"/>
        </w:rPr>
        <w:t xml:space="preserve">Wnioskodawcami </w:t>
      </w:r>
      <w:r w:rsidR="00751E5D">
        <w:rPr>
          <w:rFonts w:ascii="Arial" w:hAnsi="Arial" w:cs="Arial"/>
          <w:sz w:val="24"/>
          <w:szCs w:val="24"/>
        </w:rPr>
        <w:t>u</w:t>
      </w:r>
      <w:r w:rsidR="00751E5D" w:rsidRPr="000B07E7">
        <w:rPr>
          <w:rFonts w:ascii="Arial" w:hAnsi="Arial" w:cs="Arial"/>
          <w:sz w:val="24"/>
          <w:szCs w:val="24"/>
        </w:rPr>
        <w:t xml:space="preserve">prawnionymi </w:t>
      </w:r>
      <w:r w:rsidRPr="000B07E7">
        <w:rPr>
          <w:rFonts w:ascii="Arial" w:hAnsi="Arial" w:cs="Arial"/>
          <w:sz w:val="24"/>
          <w:szCs w:val="24"/>
        </w:rPr>
        <w:t>do ubiegania się o dofinansowanie w naborze są:</w:t>
      </w:r>
    </w:p>
    <w:p w14:paraId="168DA633" w14:textId="77777777" w:rsidR="00F7307C" w:rsidRDefault="00F7307C" w:rsidP="00F7307C">
      <w:pPr>
        <w:numPr>
          <w:ilvl w:val="1"/>
          <w:numId w:val="75"/>
        </w:numPr>
        <w:suppressAutoHyphens/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134117">
        <w:rPr>
          <w:rFonts w:ascii="Arial" w:hAnsi="Arial" w:cs="Arial"/>
          <w:bCs/>
          <w:sz w:val="24"/>
          <w:szCs w:val="24"/>
        </w:rPr>
        <w:t>powiatowe urzędy pracy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terenu województwa łódzkiego</w:t>
      </w:r>
      <w:r w:rsidRPr="00E4708C">
        <w:rPr>
          <w:rFonts w:ascii="Arial" w:hAnsi="Arial" w:cs="Arial"/>
          <w:sz w:val="24"/>
          <w:szCs w:val="24"/>
        </w:rPr>
        <w:t>,</w:t>
      </w:r>
    </w:p>
    <w:p w14:paraId="2A1A2689" w14:textId="50ABF464" w:rsidR="00FF2ABC" w:rsidRPr="00751C0F" w:rsidRDefault="00F7307C" w:rsidP="00751C0F">
      <w:pPr>
        <w:numPr>
          <w:ilvl w:val="1"/>
          <w:numId w:val="75"/>
        </w:numPr>
        <w:suppressAutoHyphens/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751C0F">
        <w:rPr>
          <w:rFonts w:ascii="Arial" w:hAnsi="Arial" w:cs="Arial"/>
          <w:bCs/>
          <w:sz w:val="24"/>
          <w:szCs w:val="24"/>
        </w:rPr>
        <w:t>Łódzka Wojewódzka Komenda Ochotniczych Hufców Pracy</w:t>
      </w:r>
      <w:r w:rsidR="00BC61E0" w:rsidRPr="00751C0F">
        <w:rPr>
          <w:rFonts w:ascii="Arial" w:hAnsi="Arial" w:cs="Arial"/>
          <w:sz w:val="24"/>
          <w:szCs w:val="24"/>
        </w:rPr>
        <w:t>.</w:t>
      </w:r>
    </w:p>
    <w:p w14:paraId="40614F45" w14:textId="0B772C1C" w:rsidR="00FE6F48" w:rsidRPr="00AA5203" w:rsidRDefault="00751C0F" w:rsidP="00AA5203">
      <w:pPr>
        <w:pStyle w:val="Akapitzlist"/>
        <w:numPr>
          <w:ilvl w:val="0"/>
          <w:numId w:val="68"/>
        </w:numPr>
        <w:suppressAutoHyphens/>
        <w:spacing w:before="120" w:after="3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1C0F">
        <w:rPr>
          <w:rFonts w:ascii="Arial" w:hAnsi="Arial" w:cs="Arial"/>
          <w:sz w:val="24"/>
          <w:szCs w:val="24"/>
        </w:rPr>
        <w:t xml:space="preserve">Zgodnie ze specyficznym kryterium merytorycznym nr 1 „Liczba złożonych wniosków” </w:t>
      </w:r>
      <w:r w:rsidRPr="00751C0F">
        <w:rPr>
          <w:rFonts w:ascii="Arial" w:hAnsi="Arial" w:cs="Arial"/>
          <w:b/>
          <w:sz w:val="28"/>
          <w:szCs w:val="28"/>
        </w:rPr>
        <w:t>wnioskodawca może złożyć tylko jeden wniosek o</w:t>
      </w:r>
      <w:r>
        <w:rPr>
          <w:rFonts w:ascii="Arial" w:hAnsi="Arial" w:cs="Arial"/>
          <w:b/>
          <w:sz w:val="28"/>
          <w:szCs w:val="28"/>
        </w:rPr>
        <w:t> </w:t>
      </w:r>
      <w:r w:rsidRPr="00751C0F">
        <w:rPr>
          <w:rFonts w:ascii="Arial" w:hAnsi="Arial" w:cs="Arial"/>
          <w:b/>
          <w:sz w:val="28"/>
          <w:szCs w:val="28"/>
        </w:rPr>
        <w:t>dofinansowanie</w:t>
      </w:r>
      <w:r w:rsidR="00C914AE" w:rsidRPr="00751C0F">
        <w:rPr>
          <w:rFonts w:ascii="Arial" w:hAnsi="Arial" w:cs="Arial"/>
          <w:b/>
          <w:sz w:val="28"/>
          <w:szCs w:val="28"/>
        </w:rPr>
        <w:t>.</w:t>
      </w:r>
      <w:r w:rsidR="00C914AE">
        <w:rPr>
          <w:rFonts w:ascii="Arial" w:hAnsi="Arial" w:cs="Arial"/>
          <w:sz w:val="24"/>
          <w:szCs w:val="24"/>
        </w:rPr>
        <w:t xml:space="preserve"> </w:t>
      </w:r>
      <w:r w:rsidR="00C914AE" w:rsidRPr="00C37538">
        <w:rPr>
          <w:rFonts w:ascii="Arial" w:hAnsi="Arial" w:cs="Arial"/>
          <w:sz w:val="24"/>
          <w:szCs w:val="24"/>
        </w:rPr>
        <w:t>W przypadku wpływu do Instytucji Organizującej Nabór więcej niż jednego wniosku, odrzucone zostaną kolejne złożone w odpowiedzi na nabór wnioski. W przypadku wycofania wniosk</w:t>
      </w:r>
      <w:r w:rsidR="00AA5203">
        <w:rPr>
          <w:rFonts w:ascii="Arial" w:hAnsi="Arial" w:cs="Arial"/>
          <w:sz w:val="24"/>
          <w:szCs w:val="24"/>
        </w:rPr>
        <w:t>u</w:t>
      </w:r>
      <w:r w:rsidR="00C914AE" w:rsidRPr="00C37538">
        <w:rPr>
          <w:rFonts w:ascii="Arial" w:hAnsi="Arial" w:cs="Arial"/>
          <w:sz w:val="24"/>
          <w:szCs w:val="24"/>
        </w:rPr>
        <w:t xml:space="preserve"> złożon</w:t>
      </w:r>
      <w:r w:rsidR="00AA5203">
        <w:rPr>
          <w:rFonts w:ascii="Arial" w:hAnsi="Arial" w:cs="Arial"/>
          <w:sz w:val="24"/>
          <w:szCs w:val="24"/>
        </w:rPr>
        <w:t>ego</w:t>
      </w:r>
      <w:r w:rsidR="00C914AE" w:rsidRPr="00C37538">
        <w:rPr>
          <w:rFonts w:ascii="Arial" w:hAnsi="Arial" w:cs="Arial"/>
          <w:sz w:val="24"/>
          <w:szCs w:val="24"/>
        </w:rPr>
        <w:t xml:space="preserve"> w ramach trwającego naboru wnioskodawca ma prawo złożyć kolejny wniosek</w:t>
      </w:r>
      <w:r w:rsidR="00FE6F48" w:rsidRPr="00AA5203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4ADDD9FC" w14:textId="07631920" w:rsidR="00CE72CE" w:rsidRPr="00610FBE" w:rsidRDefault="00CE72CE" w:rsidP="000965CD">
      <w:pPr>
        <w:pStyle w:val="Nagwek1"/>
        <w:keepNext w:val="0"/>
        <w:keepLines w:val="0"/>
        <w:widowControl w:val="0"/>
        <w:numPr>
          <w:ilvl w:val="0"/>
          <w:numId w:val="61"/>
        </w:numPr>
        <w:spacing w:before="0" w:after="120" w:line="360" w:lineRule="auto"/>
        <w:ind w:left="385" w:hanging="357"/>
        <w:contextualSpacing/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</w:pPr>
      <w:bookmarkStart w:id="15" w:name="_Toc217302979"/>
      <w:bookmarkStart w:id="16" w:name="_Hlk116992586"/>
      <w:r w:rsidRPr="00610FBE">
        <w:rPr>
          <w:rFonts w:ascii="Arial" w:hAnsi="Arial" w:cs="Arial"/>
          <w:b/>
          <w:bCs/>
          <w:color w:val="2E74B5" w:themeColor="accent5" w:themeShade="BF"/>
          <w:sz w:val="28"/>
          <w:szCs w:val="28"/>
        </w:rPr>
        <w:t>Grupa docelowa</w:t>
      </w:r>
      <w:bookmarkEnd w:id="15"/>
    </w:p>
    <w:bookmarkEnd w:id="16"/>
    <w:p w14:paraId="0C810403" w14:textId="661ACC48" w:rsidR="00C52729" w:rsidRPr="004B0A03" w:rsidRDefault="00C52729" w:rsidP="00EF5D1F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E3A87">
        <w:rPr>
          <w:rFonts w:ascii="Arial" w:hAnsi="Arial" w:cs="Arial"/>
          <w:sz w:val="24"/>
          <w:szCs w:val="24"/>
        </w:rPr>
        <w:t xml:space="preserve">W ramach naboru </w:t>
      </w:r>
      <w:r w:rsidR="00EF5D1F" w:rsidRPr="00AA5203">
        <w:rPr>
          <w:rFonts w:ascii="Arial" w:hAnsi="Arial" w:cs="Arial"/>
          <w:b/>
          <w:sz w:val="28"/>
          <w:szCs w:val="28"/>
        </w:rPr>
        <w:t>wsparciem mogą być objęci wyłącznie pracownicy Publicznych Służb Zatrudnienia</w:t>
      </w:r>
      <w:r w:rsidRPr="004B0A03">
        <w:rPr>
          <w:rFonts w:ascii="Arial" w:hAnsi="Arial" w:cs="Arial"/>
          <w:sz w:val="24"/>
          <w:szCs w:val="24"/>
        </w:rPr>
        <w:t>.</w:t>
      </w:r>
    </w:p>
    <w:p w14:paraId="1F9C7C21" w14:textId="78B9DCAD" w:rsidR="008A1FE5" w:rsidRDefault="008A1FE5" w:rsidP="008564C7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</w:t>
      </w:r>
      <w:r w:rsidRPr="00385D14">
        <w:rPr>
          <w:rFonts w:ascii="Arial" w:hAnsi="Arial" w:cs="Arial"/>
          <w:spacing w:val="-2"/>
          <w:sz w:val="24"/>
          <w:szCs w:val="24"/>
        </w:rPr>
        <w:t>z kryterium merytorycznym dostępu nr 12</w:t>
      </w:r>
      <w:r w:rsidRPr="003B3CCC">
        <w:rPr>
          <w:rFonts w:ascii="Arial" w:hAnsi="Arial" w:cs="Arial"/>
          <w:spacing w:val="-2"/>
          <w:sz w:val="24"/>
          <w:szCs w:val="24"/>
        </w:rPr>
        <w:t xml:space="preserve"> „Grupa docelowa</w:t>
      </w:r>
      <w:r w:rsidRPr="00402A91">
        <w:rPr>
          <w:rFonts w:ascii="Arial" w:hAnsi="Arial" w:cs="Arial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</w:t>
      </w:r>
      <w:r w:rsidRPr="00402A91">
        <w:rPr>
          <w:rFonts w:ascii="Arial" w:hAnsi="Arial" w:cs="Arial"/>
          <w:b/>
          <w:bCs/>
          <w:spacing w:val="-2"/>
          <w:sz w:val="28"/>
          <w:szCs w:val="28"/>
        </w:rPr>
        <w:t>działania będą skierowane do grup docelowych z obszaru województwa łódzkieg</w:t>
      </w:r>
      <w:r w:rsidRPr="00BB7497">
        <w:rPr>
          <w:rFonts w:ascii="Arial" w:hAnsi="Arial" w:cs="Arial"/>
          <w:b/>
          <w:bCs/>
          <w:spacing w:val="-2"/>
          <w:sz w:val="28"/>
          <w:szCs w:val="28"/>
        </w:rPr>
        <w:t>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402A91">
        <w:rPr>
          <w:rFonts w:ascii="Arial" w:hAnsi="Arial" w:cs="Arial"/>
          <w:b/>
          <w:bCs/>
          <w:spacing w:val="-2"/>
          <w:sz w:val="28"/>
          <w:szCs w:val="28"/>
        </w:rPr>
        <w:t>które uczą się/ pracują lub zamieszkują na obszarze województwa łódzkiego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A0251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rozumieniu przepisów Kodeksu Cywilnego.</w:t>
      </w:r>
    </w:p>
    <w:p w14:paraId="22780AC8" w14:textId="77777777" w:rsidR="006E1006" w:rsidRDefault="00C52729" w:rsidP="006E1006">
      <w:pPr>
        <w:pStyle w:val="Akapitzlist"/>
        <w:numPr>
          <w:ilvl w:val="0"/>
          <w:numId w:val="22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B27CB">
        <w:rPr>
          <w:rFonts w:ascii="Arial" w:hAnsi="Arial" w:cs="Arial"/>
          <w:sz w:val="24"/>
          <w:szCs w:val="24"/>
        </w:rPr>
        <w:t>Beneficjent jest zobowiązany do weryfikacji statusu uczestnika projektu</w:t>
      </w:r>
      <w:r>
        <w:rPr>
          <w:rFonts w:ascii="Arial" w:hAnsi="Arial" w:cs="Arial"/>
          <w:sz w:val="24"/>
          <w:szCs w:val="24"/>
        </w:rPr>
        <w:t>.</w:t>
      </w:r>
    </w:p>
    <w:p w14:paraId="62301E39" w14:textId="42667111" w:rsidR="000965CD" w:rsidRDefault="00C52729" w:rsidP="00A02516">
      <w:pPr>
        <w:pStyle w:val="Akapitzlist"/>
        <w:numPr>
          <w:ilvl w:val="0"/>
          <w:numId w:val="22"/>
        </w:numPr>
        <w:spacing w:after="3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A02516">
        <w:rPr>
          <w:rFonts w:ascii="Arial" w:hAnsi="Arial" w:cs="Arial"/>
          <w:sz w:val="24"/>
          <w:szCs w:val="24"/>
        </w:rPr>
        <w:t> </w:t>
      </w:r>
      <w:r w:rsidRPr="006E1006">
        <w:rPr>
          <w:rFonts w:ascii="Arial" w:hAnsi="Arial" w:cs="Arial"/>
          <w:sz w:val="24"/>
          <w:szCs w:val="24"/>
        </w:rPr>
        <w:t>projekcie, co jest potwierdzone właściwym dokumentem, np.:</w:t>
      </w:r>
      <w:r w:rsidR="00AA5203" w:rsidRPr="006E1006">
        <w:rPr>
          <w:rFonts w:ascii="Arial" w:hAnsi="Arial" w:cs="Arial"/>
          <w:sz w:val="24"/>
          <w:szCs w:val="24"/>
        </w:rPr>
        <w:t xml:space="preserve"> </w:t>
      </w:r>
      <w:r w:rsidR="00EF5D1F" w:rsidRPr="006E1006">
        <w:rPr>
          <w:rFonts w:ascii="Arial" w:hAnsi="Arial" w:cs="Arial"/>
          <w:sz w:val="24"/>
          <w:szCs w:val="24"/>
        </w:rPr>
        <w:t xml:space="preserve">umowa o pracę, </w:t>
      </w:r>
      <w:r w:rsidR="00EF5D1F" w:rsidRPr="00563385">
        <w:rPr>
          <w:rFonts w:ascii="Arial" w:hAnsi="Arial" w:cs="Arial"/>
          <w:sz w:val="24"/>
          <w:szCs w:val="24"/>
        </w:rPr>
        <w:t>zaświadczenie o zatrudnieniu</w:t>
      </w:r>
      <w:r w:rsidR="006E1006" w:rsidRPr="00563385">
        <w:rPr>
          <w:rFonts w:ascii="Arial" w:hAnsi="Arial" w:cs="Arial"/>
          <w:sz w:val="24"/>
          <w:szCs w:val="24"/>
        </w:rPr>
        <w:t>.</w:t>
      </w:r>
    </w:p>
    <w:p w14:paraId="6F0C8299" w14:textId="77777777" w:rsidR="000965CD" w:rsidRDefault="000965CD">
      <w:pPr>
        <w:spacing w:after="160"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AC1C5B" w14:textId="1F82DCB8" w:rsidR="00CE72CE" w:rsidRPr="0060722E" w:rsidRDefault="00CE72CE" w:rsidP="000965CD">
      <w:pPr>
        <w:pStyle w:val="1Nagwek"/>
        <w:spacing w:after="120"/>
      </w:pPr>
      <w:bookmarkStart w:id="17" w:name="_Toc217302980"/>
      <w:r w:rsidRPr="0060722E">
        <w:lastRenderedPageBreak/>
        <w:t>Zasady horyzontalne</w:t>
      </w:r>
      <w:bookmarkEnd w:id="17"/>
    </w:p>
    <w:p w14:paraId="18C8AEBF" w14:textId="282E02B5" w:rsidR="00CE72CE" w:rsidRPr="00334C53" w:rsidRDefault="00334C53" w:rsidP="008564C7">
      <w:pPr>
        <w:pStyle w:val="Akapitzlist"/>
        <w:numPr>
          <w:ilvl w:val="0"/>
          <w:numId w:val="21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413A">
        <w:rPr>
          <w:rFonts w:ascii="Arial" w:hAnsi="Arial" w:cs="Arial"/>
          <w:sz w:val="24"/>
          <w:szCs w:val="24"/>
        </w:rPr>
        <w:t xml:space="preserve">Wnioskodawca ubiegający się o dofinansowanie zobowiązany jest do stosowania zasad horyzontalnych, tj. równości szans, dostępności i niedyskryminacji, w tym dostępności dla osób z niepełnosprawnościami, równości kobiet i mężczyzn oraz zasady zrównoważonego rozwoju, w tym zasady „nie czyń poważnych szkód” środowisku (DNSH). </w:t>
      </w:r>
      <w:r w:rsidR="00CE72CE" w:rsidRPr="00334C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5E48723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>ang. Do No Significant Harm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0B213AEF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14DEA7E9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3CDC5B41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6CA59CA2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876F2C2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764BB259" w14:textId="77777777" w:rsidR="00CE72CE" w:rsidRPr="00BC5481" w:rsidRDefault="00CE72CE" w:rsidP="008564C7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05F12C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także do poszanowania praw podstawowych i przestrzegania Karty Praw Podstawowych Unii Europejskiej (KPP) z dnia 7 czerwca 2016 r. oraz Konwencji o Prawach Osób Niepełnosprawnych sporządzonej w Nowym Jorku dnia 13 grudnia 2006 r. </w:t>
      </w:r>
    </w:p>
    <w:p w14:paraId="6C02141A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26CA1199" w14:textId="77777777" w:rsidR="00CE72CE" w:rsidRPr="006E1006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Stosowanie zasad horyzontalnych dotyczy każdego etapu pracy z projektem: począwszy od planowania działań projektowych, opisania projektu w formularzu wniosku o dofinansowanie (w zakresie zasady dostępności m.in. opisanie spełnienia zasady dostępności materiałów informacyjnych o projekcie, dostępności rekrutacji i formularzy rekrutacyjnych, w których powinno się znaleźć pytanie o szczególne potrzeby potencjalnych uczestników projektu, dostępności strony www zgodnie ze standardem WCAG.2.1, dostępności świadczonych usług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 produktów, a także dostępności architektonicznej biura projektu i pomieszczeń, w których projekt będzie realizowany, w zakresie pozostałych zasad), poprzez wdrażanie projektu, jego monitorowanie i rozliczanie, a </w:t>
      </w:r>
      <w:r w:rsidRPr="006E1006">
        <w:rPr>
          <w:rFonts w:ascii="Arial" w:hAnsi="Arial" w:cs="Arial"/>
          <w:spacing w:val="-2"/>
          <w:sz w:val="24"/>
          <w:szCs w:val="24"/>
        </w:rPr>
        <w:t xml:space="preserve">także trwałość (jeśli dotyczy). </w:t>
      </w:r>
    </w:p>
    <w:p w14:paraId="3111E0A4" w14:textId="77777777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We wniosku o dofinansowanie należy wskazać wszystkie adekwatne do realizowanych działań standardy dostępności, które będą stosowane w projekcie.</w:t>
      </w:r>
    </w:p>
    <w:p w14:paraId="15E3C70D" w14:textId="7962CC18" w:rsidR="00CE72CE" w:rsidRPr="00BC5481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 dofinansowanie, na etapie wdrażania i rozliczania projektu, monitorowania,</w:t>
      </w:r>
      <w:r w:rsidR="006E1006">
        <w:rPr>
          <w:rFonts w:ascii="Arial" w:hAnsi="Arial" w:cs="Arial"/>
          <w:spacing w:val="-2"/>
          <w:sz w:val="24"/>
          <w:szCs w:val="24"/>
        </w:rPr>
        <w:t xml:space="preserve"> </w:t>
      </w:r>
      <w:r w:rsidRPr="006E1006">
        <w:rPr>
          <w:rFonts w:ascii="Arial" w:hAnsi="Arial" w:cs="Arial"/>
          <w:spacing w:val="-2"/>
          <w:sz w:val="24"/>
          <w:szCs w:val="24"/>
        </w:rPr>
        <w:t>zachowania trwałości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E57FE89" w14:textId="77777777" w:rsidR="00CE72CE" w:rsidRPr="00D90D4C" w:rsidRDefault="00CE72CE" w:rsidP="008564C7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 niedyskryminacji oraz równości płci, zawarte zostały w</w:t>
      </w:r>
      <w:bookmarkStart w:id="18" w:name="_Hlk130277838"/>
      <w:r w:rsidRPr="00BC5481">
        <w:rPr>
          <w:rFonts w:ascii="Arial" w:hAnsi="Arial" w:cs="Arial"/>
          <w:spacing w:val="-2"/>
          <w:sz w:val="24"/>
          <w:szCs w:val="24"/>
        </w:rPr>
        <w:t> Wytycznych dotyczących realizacji zasad równościowych w ramach funduszy unijnych na lata 2021-2027</w:t>
      </w:r>
      <w:bookmarkEnd w:id="18"/>
      <w:r w:rsidRPr="00BC5481">
        <w:rPr>
          <w:rFonts w:ascii="Arial" w:hAnsi="Arial" w:cs="Arial"/>
          <w:spacing w:val="-2"/>
          <w:sz w:val="24"/>
          <w:szCs w:val="24"/>
        </w:rPr>
        <w:t xml:space="preserve"> oraz następujących załącznikach do tych Wytycznych: załącznik nr 1 Standard minimum realizacji zasady równości kobiet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mężczyzn w </w:t>
      </w:r>
      <w:r w:rsidRPr="00D90D4C">
        <w:rPr>
          <w:rFonts w:ascii="Arial" w:hAnsi="Arial" w:cs="Arial"/>
          <w:spacing w:val="-2"/>
          <w:sz w:val="24"/>
          <w:szCs w:val="24"/>
        </w:rPr>
        <w:t xml:space="preserve">ramach projektów współfinansowanych z EFS+, załącznik nr 2 Standardy dostępności dla polityki spójności 2021-2027. </w:t>
      </w:r>
    </w:p>
    <w:p w14:paraId="4DF8982D" w14:textId="3388BC1B" w:rsidR="00337CF0" w:rsidRPr="006E1006" w:rsidRDefault="00CE72CE" w:rsidP="006E1006">
      <w:pPr>
        <w:pStyle w:val="Akapitzlist"/>
        <w:numPr>
          <w:ilvl w:val="0"/>
          <w:numId w:val="2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D90D4C">
        <w:rPr>
          <w:rFonts w:ascii="Arial" w:hAnsi="Arial" w:cs="Arial"/>
          <w:spacing w:val="-2"/>
          <w:sz w:val="24"/>
          <w:szCs w:val="24"/>
        </w:rPr>
        <w:t>W zakresie przestrzegania Karty Praw Podstawowych UE pomocne mogą być „Wytyczne Komisji Europejskiej 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zapewnienia poszanowania Karty praw podstawowych Unii Europejskiej przy wdrażaniu europejskich funduszy strukturalnych i inwestycyjnych”, w szczególności załącznik nr III </w:t>
      </w:r>
      <w:r w:rsidRPr="00110495">
        <w:rPr>
          <w:rFonts w:ascii="Arial" w:hAnsi="Arial" w:cs="Arial"/>
          <w:spacing w:val="-2"/>
          <w:sz w:val="24"/>
          <w:szCs w:val="24"/>
        </w:rPr>
        <w:t>oraz Procedura służąca do włączania postanowień KPP do praktyki wdrażania programów,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6F63574" w14:textId="6D066F65" w:rsidR="00CE72CE" w:rsidRPr="00910F88" w:rsidRDefault="00CE72CE" w:rsidP="000965CD">
      <w:pPr>
        <w:pStyle w:val="1Nagwek"/>
        <w:numPr>
          <w:ilvl w:val="0"/>
          <w:numId w:val="62"/>
        </w:numPr>
        <w:spacing w:after="120"/>
        <w:ind w:left="357" w:hanging="357"/>
      </w:pPr>
      <w:bookmarkStart w:id="19" w:name="_Toc217302981"/>
      <w:bookmarkStart w:id="20" w:name="_Hlk116992620"/>
      <w:r w:rsidRPr="00910F88">
        <w:t>Termin i miejsce składania wniosków o dofinansowanie</w:t>
      </w:r>
      <w:bookmarkEnd w:id="19"/>
    </w:p>
    <w:bookmarkEnd w:id="20"/>
    <w:p w14:paraId="5E6D8DC3" w14:textId="764E2BA6" w:rsidR="00CE72CE" w:rsidRPr="006E1006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 rozpoczęcia naboru wniosków o dofinansowanie: </w:t>
      </w:r>
      <w:r w:rsidR="00751E5D" w:rsidRPr="006E1006">
        <w:rPr>
          <w:rFonts w:ascii="Arial" w:hAnsi="Arial" w:cs="Arial"/>
          <w:b/>
          <w:bCs/>
          <w:spacing w:val="-2"/>
          <w:sz w:val="28"/>
          <w:szCs w:val="28"/>
        </w:rPr>
        <w:t>7</w:t>
      </w:r>
      <w:r w:rsidR="00334C53" w:rsidRPr="006E100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751E5D" w:rsidRPr="006E1006">
        <w:rPr>
          <w:rFonts w:ascii="Arial" w:hAnsi="Arial" w:cs="Arial"/>
          <w:b/>
          <w:bCs/>
          <w:spacing w:val="-2"/>
          <w:sz w:val="28"/>
          <w:szCs w:val="28"/>
        </w:rPr>
        <w:t xml:space="preserve">maja </w:t>
      </w:r>
      <w:r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EF5D1F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r.</w:t>
      </w:r>
      <w:r w:rsidRPr="006E1006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6E1006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Pr="006E1006">
        <w:rPr>
          <w:rFonts w:ascii="Arial" w:hAnsi="Arial" w:cs="Arial"/>
          <w:spacing w:val="-2"/>
          <w:sz w:val="24"/>
          <w:szCs w:val="24"/>
        </w:rPr>
        <w:t>.</w:t>
      </w:r>
    </w:p>
    <w:p w14:paraId="2BE45DF7" w14:textId="7FF159C2" w:rsidR="00CE72CE" w:rsidRPr="006E1006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E1006">
        <w:rPr>
          <w:rFonts w:ascii="Arial" w:hAnsi="Arial" w:cs="Arial"/>
          <w:spacing w:val="-2"/>
          <w:sz w:val="24"/>
          <w:szCs w:val="24"/>
        </w:rPr>
        <w:t xml:space="preserve">Termin zakończenia naboru wniosków o dofinansowanie: </w:t>
      </w:r>
      <w:r w:rsidR="00402A91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</w:t>
      </w:r>
      <w:r w:rsidR="00751E5D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</w:t>
      </w:r>
      <w:r w:rsidR="00334C53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="00751E5D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czerwca</w:t>
      </w:r>
      <w:r w:rsidR="00CE782A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8122D4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CE782A"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</w:t>
      </w:r>
      <w:r w:rsidRPr="006E100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Pr="006E1006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Pr="006E1006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2F58453" w14:textId="4AFF79F8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402A91">
        <w:rPr>
          <w:rFonts w:ascii="Arial" w:hAnsi="Arial" w:cs="Arial"/>
          <w:spacing w:val="-2"/>
          <w:sz w:val="24"/>
          <w:szCs w:val="24"/>
        </w:rPr>
        <w:lastRenderedPageBreak/>
        <w:t>Planowany termin rozstrzygnięcia naboru:</w:t>
      </w:r>
      <w:r w:rsidRPr="00402A9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02A91">
        <w:rPr>
          <w:rFonts w:ascii="Arial" w:hAnsi="Arial" w:cs="Arial"/>
          <w:b/>
          <w:bCs/>
          <w:spacing w:val="-2"/>
          <w:sz w:val="28"/>
          <w:szCs w:val="28"/>
        </w:rPr>
        <w:t>sierpień</w:t>
      </w:r>
      <w:r w:rsidR="00751E5D">
        <w:rPr>
          <w:rFonts w:ascii="Arial" w:hAnsi="Arial" w:cs="Arial"/>
          <w:b/>
          <w:bCs/>
          <w:spacing w:val="-2"/>
          <w:sz w:val="28"/>
          <w:szCs w:val="28"/>
        </w:rPr>
        <w:t>/wrzesień</w:t>
      </w:r>
      <w:r w:rsidR="00334C53" w:rsidRPr="00402A9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402A91">
        <w:rPr>
          <w:rFonts w:ascii="Arial" w:hAnsi="Arial" w:cs="Arial"/>
          <w:b/>
          <w:bCs/>
          <w:spacing w:val="-2"/>
          <w:sz w:val="28"/>
          <w:szCs w:val="28"/>
        </w:rPr>
        <w:t>2026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E25BD0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39E9178D" w14:textId="77777777" w:rsidR="00CE72CE" w:rsidRPr="00110495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3E393FA9" w14:textId="09CA2CB9" w:rsidR="00CE72CE" w:rsidRPr="00110495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zwiększenia kwoty przewidzianej na dofinansowanie projektów w ramach naboru, </w:t>
      </w:r>
    </w:p>
    <w:p w14:paraId="354BFC27" w14:textId="756CB7D1" w:rsidR="00CE72CE" w:rsidRPr="00110495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innej niż przewidywana pierwotnie liczbie składanych wniosków o dofinansowanie, </w:t>
      </w:r>
    </w:p>
    <w:p w14:paraId="3F154221" w14:textId="66D4D3F2" w:rsidR="00CE72CE" w:rsidRPr="00110495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konieczności doprecyzowania przez </w:t>
      </w:r>
      <w:r w:rsidR="00110495"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2D96BD49" w14:textId="0DD3D10B" w:rsidR="00CE72CE" w:rsidRPr="00BC5481" w:rsidRDefault="00CE72CE" w:rsidP="008564C7">
      <w:pPr>
        <w:pStyle w:val="Akapitzlist"/>
        <w:numPr>
          <w:ilvl w:val="1"/>
          <w:numId w:val="64"/>
        </w:numPr>
        <w:spacing w:after="480" w:line="360" w:lineRule="auto"/>
        <w:ind w:left="1134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110495">
        <w:rPr>
          <w:rFonts w:ascii="Arial" w:hAnsi="Arial" w:cs="Arial"/>
          <w:color w:val="000000" w:themeColor="text1"/>
          <w:spacing w:val="-2"/>
          <w:sz w:val="24"/>
          <w:szCs w:val="24"/>
        </w:rPr>
        <w:t>długotrwałych problemów lub usterek technicznych uniemożliwiających składanie wniosków o dofinansowanie.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0AE8766F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 Do sposobu obliczania terminów określonych w Regulaminie stosuje się przepisy zgodnie z ustawą z dnia 14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czerwca 1960 r. – Kodeks postępowania administracyjnego.</w:t>
      </w:r>
    </w:p>
    <w:p w14:paraId="13143CCB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0A6D01A1" w14:textId="77777777" w:rsidR="00CE72CE" w:rsidRPr="00BC5481" w:rsidRDefault="00CE72CE" w:rsidP="008564C7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projektu, należy złożyć wyłącznie w wersji elektronicznej za pośrednictwem aplikacji </w:t>
      </w:r>
      <w:r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dostępnej na stronie: </w:t>
      </w:r>
      <w:hyperlink r:id="rId1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2E434B7" w14:textId="77777777" w:rsidR="00CE72CE" w:rsidRPr="00BC5481" w:rsidRDefault="00CE72CE" w:rsidP="00CE72CE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Za datę wpływu wniosku o dofinansowanie uznaje się datę wpływu wersji elektronicznej wniosku za pośrednictwem aplikacji SOWA EFS. Wnioski złożone w innej formie niż za pośrednictwem aplikacji SOWA EFS pozostaną bez rozpatrzenia.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57C6FEEF" w14:textId="2121450C" w:rsidR="00CE72CE" w:rsidRPr="00F810DF" w:rsidRDefault="00CE72CE" w:rsidP="000965CD">
      <w:pPr>
        <w:pStyle w:val="1Nagwek"/>
        <w:numPr>
          <w:ilvl w:val="0"/>
          <w:numId w:val="62"/>
        </w:numPr>
        <w:spacing w:after="120"/>
        <w:ind w:left="357" w:hanging="357"/>
      </w:pPr>
      <w:bookmarkStart w:id="21" w:name="_Toc217302982"/>
      <w:bookmarkStart w:id="22" w:name="_Hlk116992634"/>
      <w:r w:rsidRPr="00F810DF">
        <w:t>Kwota przeznaczona na dofinansowanie projektu</w:t>
      </w:r>
      <w:bookmarkEnd w:id="21"/>
    </w:p>
    <w:bookmarkEnd w:id="22"/>
    <w:p w14:paraId="082F0858" w14:textId="6BDC26A3" w:rsidR="00CE72CE" w:rsidRPr="00885F6F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5167D5">
        <w:rPr>
          <w:rFonts w:ascii="Arial" w:hAnsi="Arial" w:cs="Arial"/>
          <w:spacing w:val="-2"/>
          <w:sz w:val="24"/>
          <w:szCs w:val="24"/>
        </w:rPr>
        <w:t>Całkowita kwota środków przeznaczonych na dofinansowanie projektów w </w:t>
      </w:r>
      <w:r w:rsidR="00173414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885F6F">
        <w:rPr>
          <w:rFonts w:ascii="Arial" w:hAnsi="Arial" w:cs="Arial"/>
          <w:spacing w:val="-2"/>
          <w:sz w:val="24"/>
          <w:szCs w:val="24"/>
        </w:rPr>
        <w:t>nabor</w:t>
      </w:r>
      <w:r w:rsidR="00173414">
        <w:rPr>
          <w:rFonts w:ascii="Arial" w:hAnsi="Arial" w:cs="Arial"/>
          <w:spacing w:val="-2"/>
          <w:sz w:val="24"/>
          <w:szCs w:val="24"/>
        </w:rPr>
        <w:t>u</w:t>
      </w:r>
      <w:r w:rsidRPr="005167D5">
        <w:rPr>
          <w:rFonts w:ascii="Arial" w:hAnsi="Arial" w:cs="Arial"/>
          <w:spacing w:val="-2"/>
          <w:sz w:val="24"/>
          <w:szCs w:val="24"/>
        </w:rPr>
        <w:t xml:space="preserve"> wynosi</w:t>
      </w:r>
      <w:r w:rsidRPr="00885F6F">
        <w:rPr>
          <w:rFonts w:ascii="Arial" w:hAnsi="Arial" w:cs="Arial"/>
          <w:spacing w:val="-2"/>
          <w:sz w:val="24"/>
          <w:szCs w:val="24"/>
        </w:rPr>
        <w:t xml:space="preserve">: </w:t>
      </w:r>
      <w:bookmarkStart w:id="23" w:name="_Hlk228181457"/>
      <w:r w:rsidR="00885F6F" w:rsidRPr="00885F6F">
        <w:rPr>
          <w:rFonts w:ascii="Arial" w:hAnsi="Arial" w:cs="Arial"/>
          <w:b/>
          <w:bCs/>
          <w:iCs/>
          <w:spacing w:val="-2"/>
          <w:sz w:val="28"/>
          <w:szCs w:val="28"/>
        </w:rPr>
        <w:t xml:space="preserve">2 022 777,00 </w:t>
      </w:r>
      <w:r w:rsidRPr="00885F6F">
        <w:rPr>
          <w:rFonts w:ascii="Arial" w:hAnsi="Arial" w:cs="Arial"/>
          <w:b/>
          <w:spacing w:val="-2"/>
          <w:sz w:val="28"/>
          <w:szCs w:val="28"/>
        </w:rPr>
        <w:t xml:space="preserve">PLN </w:t>
      </w:r>
      <w:bookmarkEnd w:id="23"/>
      <w:r w:rsidRPr="00885F6F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5167D5" w:rsidRPr="00885F6F">
        <w:rPr>
          <w:rFonts w:ascii="Arial" w:hAnsi="Arial" w:cs="Arial"/>
          <w:b/>
          <w:spacing w:val="-2"/>
          <w:sz w:val="28"/>
          <w:szCs w:val="28"/>
        </w:rPr>
        <w:br/>
      </w:r>
      <w:r w:rsidR="006E1006" w:rsidRPr="00885F6F">
        <w:rPr>
          <w:rFonts w:ascii="Arial" w:hAnsi="Arial" w:cs="Arial"/>
          <w:b/>
          <w:bCs/>
          <w:iCs/>
          <w:spacing w:val="-2"/>
          <w:sz w:val="28"/>
          <w:szCs w:val="28"/>
        </w:rPr>
        <w:t xml:space="preserve">2 022 777,00 </w:t>
      </w:r>
      <w:r w:rsidR="006E1006" w:rsidRPr="00885F6F">
        <w:rPr>
          <w:rFonts w:ascii="Arial" w:hAnsi="Arial" w:cs="Arial"/>
          <w:b/>
          <w:spacing w:val="-2"/>
          <w:sz w:val="28"/>
          <w:szCs w:val="28"/>
        </w:rPr>
        <w:t>PL</w:t>
      </w:r>
      <w:r w:rsidR="006E1006" w:rsidRPr="006E1006">
        <w:rPr>
          <w:rFonts w:ascii="Arial" w:hAnsi="Arial" w:cs="Arial"/>
          <w:b/>
          <w:spacing w:val="-2"/>
          <w:sz w:val="28"/>
          <w:szCs w:val="28"/>
        </w:rPr>
        <w:t>N</w:t>
      </w:r>
      <w:r w:rsidRPr="006E1006">
        <w:rPr>
          <w:rFonts w:ascii="Arial" w:hAnsi="Arial" w:cs="Arial"/>
          <w:bCs/>
          <w:spacing w:val="-2"/>
          <w:sz w:val="28"/>
          <w:szCs w:val="28"/>
        </w:rPr>
        <w:t>.</w:t>
      </w:r>
      <w:r w:rsidRPr="00885F6F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F5FD291" w14:textId="3CB969C9" w:rsidR="00CE72CE" w:rsidRPr="006914A9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5167D5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Maksymalny poziom dofinansowania w projekcie wynosi </w:t>
      </w:r>
      <w:r w:rsidR="006E1006">
        <w:rPr>
          <w:rFonts w:ascii="Arial" w:hAnsi="Arial" w:cs="Arial"/>
          <w:bCs/>
          <w:spacing w:val="-2"/>
          <w:sz w:val="24"/>
          <w:szCs w:val="24"/>
        </w:rPr>
        <w:t>8</w:t>
      </w:r>
      <w:r w:rsidRPr="006914A9">
        <w:rPr>
          <w:rFonts w:ascii="Arial" w:hAnsi="Arial" w:cs="Arial"/>
          <w:bCs/>
          <w:spacing w:val="-2"/>
          <w:sz w:val="24"/>
          <w:szCs w:val="24"/>
        </w:rPr>
        <w:t>5%</w:t>
      </w:r>
      <w:r w:rsidRPr="006914A9">
        <w:rPr>
          <w:rFonts w:ascii="Arial" w:hAnsi="Arial" w:cs="Arial"/>
          <w:spacing w:val="-2"/>
          <w:sz w:val="24"/>
          <w:szCs w:val="24"/>
        </w:rPr>
        <w:t>, w tym maksymalny poziom dofinansowania</w:t>
      </w:r>
      <w:r w:rsidRPr="001E637A">
        <w:rPr>
          <w:rFonts w:ascii="Arial" w:hAnsi="Arial" w:cs="Arial"/>
          <w:spacing w:val="-2"/>
          <w:sz w:val="24"/>
          <w:szCs w:val="24"/>
        </w:rPr>
        <w:t xml:space="preserve"> UE w projekcie wynosi 85%</w:t>
      </w:r>
      <w:r w:rsidR="006E1006">
        <w:rPr>
          <w:rFonts w:ascii="Arial" w:hAnsi="Arial" w:cs="Arial"/>
          <w:spacing w:val="-2"/>
          <w:sz w:val="24"/>
          <w:szCs w:val="24"/>
        </w:rPr>
        <w:t>.</w:t>
      </w:r>
    </w:p>
    <w:p w14:paraId="116DBEFF" w14:textId="5E9070EC" w:rsidR="00CE72CE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/>
          <w:bCs/>
          <w:spacing w:val="-2"/>
          <w:sz w:val="28"/>
          <w:szCs w:val="28"/>
        </w:rPr>
      </w:pPr>
      <w:r w:rsidRPr="00173414">
        <w:rPr>
          <w:rFonts w:ascii="Arial" w:hAnsi="Arial" w:cs="Arial"/>
          <w:b/>
          <w:bCs/>
          <w:spacing w:val="-2"/>
          <w:sz w:val="28"/>
          <w:szCs w:val="28"/>
        </w:rPr>
        <w:t xml:space="preserve">Minimalny poziom wkładu własnego wynosi: </w:t>
      </w:r>
      <w:r w:rsidR="003722AB" w:rsidRPr="00173414">
        <w:rPr>
          <w:rFonts w:ascii="Arial" w:hAnsi="Arial" w:cs="Arial"/>
          <w:b/>
          <w:bCs/>
          <w:spacing w:val="-2"/>
          <w:sz w:val="28"/>
          <w:szCs w:val="28"/>
        </w:rPr>
        <w:t>1</w:t>
      </w:r>
      <w:r w:rsidRPr="00173414">
        <w:rPr>
          <w:rFonts w:ascii="Arial" w:hAnsi="Arial" w:cs="Arial"/>
          <w:b/>
          <w:bCs/>
          <w:spacing w:val="-2"/>
          <w:sz w:val="28"/>
          <w:szCs w:val="28"/>
        </w:rPr>
        <w:t>5%.</w:t>
      </w:r>
    </w:p>
    <w:p w14:paraId="539F9348" w14:textId="3D3DBEC0" w:rsidR="00FD6FBE" w:rsidRDefault="00FD6FBE" w:rsidP="000C0903">
      <w:pPr>
        <w:pStyle w:val="Akapitzlist"/>
        <w:numPr>
          <w:ilvl w:val="0"/>
          <w:numId w:val="6"/>
        </w:numPr>
        <w:spacing w:after="0" w:line="360" w:lineRule="auto"/>
        <w:ind w:left="567" w:hanging="567"/>
        <w:rPr>
          <w:rFonts w:ascii="Arial" w:hAnsi="Arial" w:cs="Arial"/>
          <w:b/>
          <w:bCs/>
          <w:spacing w:val="-2"/>
          <w:sz w:val="28"/>
          <w:szCs w:val="28"/>
        </w:rPr>
      </w:pPr>
      <w:r w:rsidRPr="000C0903">
        <w:rPr>
          <w:rFonts w:ascii="Arial" w:hAnsi="Arial" w:cs="Arial"/>
          <w:spacing w:val="-2"/>
          <w:sz w:val="24"/>
          <w:szCs w:val="24"/>
        </w:rPr>
        <w:t>Zgodnie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B84372">
        <w:rPr>
          <w:rFonts w:ascii="Arial" w:hAnsi="Arial" w:cs="Arial"/>
          <w:bCs/>
          <w:sz w:val="24"/>
          <w:szCs w:val="24"/>
        </w:rPr>
        <w:t xml:space="preserve">ze specyficznym kryterium merytorycznym nr </w:t>
      </w:r>
      <w:r>
        <w:rPr>
          <w:rFonts w:ascii="Arial" w:hAnsi="Arial" w:cs="Arial"/>
          <w:bCs/>
          <w:sz w:val="24"/>
          <w:szCs w:val="24"/>
        </w:rPr>
        <w:t>3</w:t>
      </w:r>
      <w:r w:rsidRPr="00B84372">
        <w:rPr>
          <w:rFonts w:ascii="Arial" w:hAnsi="Arial" w:cs="Arial"/>
          <w:bCs/>
          <w:sz w:val="24"/>
          <w:szCs w:val="24"/>
        </w:rPr>
        <w:t xml:space="preserve"> „</w:t>
      </w:r>
      <w:r>
        <w:rPr>
          <w:rFonts w:ascii="Arial" w:hAnsi="Arial" w:cs="Arial"/>
          <w:bCs/>
          <w:sz w:val="24"/>
          <w:szCs w:val="24"/>
        </w:rPr>
        <w:t>Wartość projektu</w:t>
      </w:r>
      <w:r w:rsidRPr="00B84372">
        <w:rPr>
          <w:rFonts w:ascii="Arial" w:hAnsi="Arial" w:cs="Arial"/>
          <w:bCs/>
          <w:sz w:val="24"/>
          <w:szCs w:val="24"/>
        </w:rPr>
        <w:t xml:space="preserve">” </w:t>
      </w:r>
      <w:bookmarkStart w:id="24" w:name="_Hlk228866484"/>
      <w:r w:rsidRPr="00173414">
        <w:rPr>
          <w:rFonts w:ascii="Arial" w:hAnsi="Arial" w:cs="Arial"/>
          <w:b/>
          <w:bCs/>
          <w:iCs/>
          <w:sz w:val="28"/>
          <w:szCs w:val="28"/>
        </w:rPr>
        <w:t xml:space="preserve">całkowita wartość projektu nie 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może </w:t>
      </w:r>
      <w:r w:rsidRPr="00173414">
        <w:rPr>
          <w:rFonts w:ascii="Arial" w:hAnsi="Arial" w:cs="Arial"/>
          <w:b/>
          <w:bCs/>
          <w:iCs/>
          <w:sz w:val="28"/>
          <w:szCs w:val="28"/>
        </w:rPr>
        <w:t>przekr</w:t>
      </w:r>
      <w:r>
        <w:rPr>
          <w:rFonts w:ascii="Arial" w:hAnsi="Arial" w:cs="Arial"/>
          <w:b/>
          <w:bCs/>
          <w:iCs/>
          <w:sz w:val="28"/>
          <w:szCs w:val="28"/>
        </w:rPr>
        <w:t>oczyć</w:t>
      </w:r>
      <w:r w:rsidRPr="00173414">
        <w:rPr>
          <w:rFonts w:ascii="Arial" w:hAnsi="Arial" w:cs="Arial"/>
          <w:b/>
          <w:bCs/>
          <w:iCs/>
          <w:sz w:val="28"/>
          <w:szCs w:val="28"/>
        </w:rPr>
        <w:t xml:space="preserve"> kwoty 400</w:t>
      </w:r>
      <w:r w:rsidR="00A02516">
        <w:rPr>
          <w:rFonts w:ascii="Arial" w:hAnsi="Arial" w:cs="Arial"/>
          <w:b/>
          <w:bCs/>
          <w:iCs/>
          <w:sz w:val="28"/>
          <w:szCs w:val="28"/>
        </w:rPr>
        <w:t> </w:t>
      </w:r>
      <w:r w:rsidRPr="00173414">
        <w:rPr>
          <w:rFonts w:ascii="Arial" w:hAnsi="Arial" w:cs="Arial"/>
          <w:b/>
          <w:bCs/>
          <w:iCs/>
          <w:sz w:val="28"/>
          <w:szCs w:val="28"/>
        </w:rPr>
        <w:t>tysięcy PLN</w:t>
      </w:r>
      <w:bookmarkEnd w:id="24"/>
      <w:r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3A450817" w14:textId="77777777" w:rsidR="00CE72CE" w:rsidRPr="00BC5481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zastrzega sobie możliwość zmiany kwoty przeznaczonej na dofinansowanie projektów, w tym w wyniku zmiany kursu euro.</w:t>
      </w:r>
    </w:p>
    <w:p w14:paraId="055430D4" w14:textId="38AE1C7A" w:rsidR="00CE72CE" w:rsidRDefault="00CE72CE" w:rsidP="008564C7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 informuje, że kwota</w:t>
      </w:r>
      <w:r w:rsidR="00110495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zawieranych umów o dofinansowanie projektów w naborze uzależniona jest od aktualnego w danym miesiącu kursu euro oraz wartości algorytmu wyrażającego w PLN miesięczny limit środków wspólnotowych oraz krajowych możliwych do zakontraktowania. Otrzymanie przez wnioskodawcę informacji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wybraniu do dofinansowania nie jest równoznaczne z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55A0218E" w14:textId="77777777" w:rsidR="00334C53" w:rsidRPr="00110495" w:rsidRDefault="00334C53" w:rsidP="008564C7">
      <w:pPr>
        <w:pStyle w:val="Akapitzlist"/>
        <w:numPr>
          <w:ilvl w:val="0"/>
          <w:numId w:val="6"/>
        </w:numPr>
        <w:spacing w:after="12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ION po rozstrzygnięciu naboru może podjąć decyzję o zwiększeniu kwoty dofinansowania dla naboru i wyborze projektów, które uzyskały wymaganą liczbę punktów, lecz ze względu na wyczerpanie pierwotnej kwoty alokacji nie zostały wybrane do dofinansowania.</w:t>
      </w:r>
    </w:p>
    <w:p w14:paraId="58051269" w14:textId="6018F7B2" w:rsidR="00334C53" w:rsidRPr="00BC5481" w:rsidRDefault="00334C53" w:rsidP="00334C53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>Wybór do dofinansowania projektów, wynikający ze zwiększenia kwoty alokacji następuje z zachowaniem zasady równego traktowania wnioskodawców, tj. zgodnie z kolejnością zamieszczenia projektów na liście i uwzględnieniem wszystkich projektów, które uzyskały taką samą liczbę punktów z zastosowaniem kryteriów rozstrzygających.</w:t>
      </w:r>
    </w:p>
    <w:p w14:paraId="09E1D9A9" w14:textId="6482A97F" w:rsidR="00CE72CE" w:rsidRPr="0060722E" w:rsidRDefault="00CE72CE" w:rsidP="000965CD">
      <w:pPr>
        <w:pStyle w:val="1Nagwek"/>
        <w:numPr>
          <w:ilvl w:val="0"/>
          <w:numId w:val="62"/>
        </w:numPr>
        <w:spacing w:after="120"/>
        <w:ind w:left="357" w:hanging="357"/>
      </w:pPr>
      <w:bookmarkStart w:id="25" w:name="_Toc217302983"/>
      <w:bookmarkStart w:id="26" w:name="_Hlk116992645"/>
      <w:r w:rsidRPr="0060722E">
        <w:t>Kwalifikowalność wydatków</w:t>
      </w:r>
      <w:bookmarkEnd w:id="25"/>
    </w:p>
    <w:bookmarkEnd w:id="26"/>
    <w:p w14:paraId="3867D50D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4E07949F" w14:textId="3110C72C" w:rsidR="001C7285" w:rsidRPr="003722AB" w:rsidRDefault="00CE72CE" w:rsidP="003722AB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73C82" w14:textId="3E726452" w:rsidR="00CE72CE" w:rsidRPr="003722AB" w:rsidRDefault="00CE72CE" w:rsidP="003722AB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we wniosku o dofinansowanie określa datę rozpoczęcia i zakończenia realizacji projektu, mając na uwadze, iż okres realizacji projektu jest tożsamy z okresem, w którym poniesione wydatki mogą zostać uznane za kwalifikowalne.</w:t>
      </w:r>
    </w:p>
    <w:p w14:paraId="6EC9112C" w14:textId="48991895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projektu określany jest w umowie o dofinansowanie projektu.</w:t>
      </w:r>
    </w:p>
    <w:p w14:paraId="32A4BEEE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Co do zasady, można rozpocząć projekt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 Wydatki poniesione przed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wtedy, gdy przestrzegane były zasady kwalifikowalności określone w Wytycznych kwalifikowalności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w umowie o dofinansowanie projektu.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53D8EF1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Wydatkowanie środków przed zatwierdzeniem wniosku i podpisaniem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 projektu, odbywa się na wyłączną odpowiedzialność wnioskodawcy. Jeśli projekt nie otrzyma dofinansowania, za poniesione wydatki nie będzie zwrotu. </w:t>
      </w:r>
    </w:p>
    <w:p w14:paraId="55A1B5A0" w14:textId="6B386004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poniesionych wydatków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związanych z realizacją projektu w terminie do 30 dni kalendarzowych po okresie realizacji projektu, </w:t>
      </w:r>
      <w:r w:rsidR="00850710" w:rsidRPr="001C7285">
        <w:rPr>
          <w:rFonts w:ascii="Arial" w:hAnsi="Arial" w:cs="Arial"/>
          <w:color w:val="000000"/>
          <w:sz w:val="24"/>
          <w:szCs w:val="24"/>
        </w:rPr>
        <w:t xml:space="preserve">jednak nie dłużej niż do dnia </w:t>
      </w:r>
      <w:r w:rsidR="00850710" w:rsidRPr="000C0903">
        <w:rPr>
          <w:rFonts w:ascii="Arial" w:hAnsi="Arial" w:cs="Arial"/>
          <w:color w:val="000000"/>
          <w:sz w:val="24"/>
          <w:szCs w:val="24"/>
        </w:rPr>
        <w:t xml:space="preserve">31 grudnia </w:t>
      </w:r>
      <w:r w:rsidR="00C32B63" w:rsidRPr="000C0903">
        <w:rPr>
          <w:rFonts w:ascii="Arial" w:hAnsi="Arial" w:cs="Arial"/>
          <w:color w:val="000000"/>
          <w:sz w:val="24"/>
          <w:szCs w:val="24"/>
        </w:rPr>
        <w:t xml:space="preserve">2030 </w:t>
      </w:r>
      <w:r w:rsidR="00850710" w:rsidRPr="000C0903">
        <w:rPr>
          <w:rFonts w:ascii="Arial" w:hAnsi="Arial" w:cs="Arial"/>
          <w:color w:val="000000"/>
          <w:sz w:val="24"/>
          <w:szCs w:val="24"/>
        </w:rPr>
        <w:t>r.,</w:t>
      </w:r>
      <w:r w:rsidR="00850710" w:rsidRPr="001C7285">
        <w:rPr>
          <w:rFonts w:ascii="Arial" w:hAnsi="Arial" w:cs="Arial"/>
          <w:color w:val="000000"/>
          <w:sz w:val="24"/>
          <w:szCs w:val="24"/>
        </w:rPr>
        <w:t xml:space="preserve"> pod warunkiem, że wydatki te dotyczą okresu realizacji projektu oraz zostaną uwzględnione w końcowym wniosku o płatność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7C1A18E" w14:textId="77777777" w:rsidR="00CE72CE" w:rsidRPr="00BC5481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określaniu daty rozpoczęcia projektu należy uwzględnić czas niezbędny na przeprowadzenie oceny projektu i rozstrzygnięcie naboru, a także na przygotowanie dokumentów wymaganych do podpisania umowy 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 oraz czas na podpisanie umowy o dofinansowanie.</w:t>
      </w:r>
    </w:p>
    <w:p w14:paraId="1A5F83AE" w14:textId="411F5A0A" w:rsidR="00CE72CE" w:rsidRPr="001E7C1C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Dofinansowania nie otrzyma projekt, którego wnioskodawca został wykluczony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projekt, w pełni wdrożony przed przedłożeniem wniosku o dofinansowanie projektu IP, niezależnie </w:t>
      </w:r>
      <w:r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publicznej.</w:t>
      </w:r>
    </w:p>
    <w:p w14:paraId="5D4B5B70" w14:textId="000ED111" w:rsidR="00CE72CE" w:rsidRDefault="00CE72CE" w:rsidP="008564C7">
      <w:pPr>
        <w:pStyle w:val="Akapitzlist"/>
        <w:numPr>
          <w:ilvl w:val="0"/>
          <w:numId w:val="2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realizacja projektu zgłoszonego do objęcia dofinansowaniem rozpoczęła się przed dniem złożenia wniosku o dofinansowanie, to w okresie tym wnioskodawca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powinien realizować projekt zgodnie z prawem.</w:t>
      </w:r>
      <w:r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celu sprawdzenia tego IP może </w:t>
      </w:r>
      <w:r w:rsidR="001C7285" w:rsidRPr="001536BA">
        <w:rPr>
          <w:rFonts w:ascii="Arial" w:hAnsi="Arial" w:cs="Arial"/>
          <w:spacing w:val="-2"/>
          <w:sz w:val="24"/>
          <w:szCs w:val="24"/>
        </w:rPr>
        <w:t>w szczególności</w:t>
      </w:r>
      <w:r w:rsidR="001C728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przeprowadzić kontrolę na podstawie art. 25 ust. 3 ustawy wdrożeniowej.</w:t>
      </w:r>
    </w:p>
    <w:p w14:paraId="2EFFBE7E" w14:textId="005E8A31" w:rsidR="00CE72CE" w:rsidRPr="000B2C9E" w:rsidRDefault="00CE72CE" w:rsidP="000965CD">
      <w:pPr>
        <w:pStyle w:val="1Nagwek"/>
        <w:numPr>
          <w:ilvl w:val="0"/>
          <w:numId w:val="62"/>
        </w:numPr>
        <w:spacing w:after="120"/>
        <w:ind w:left="357" w:hanging="357"/>
      </w:pPr>
      <w:bookmarkStart w:id="27" w:name="_Toc217302984"/>
      <w:bookmarkStart w:id="28" w:name="_Hlk116992663"/>
      <w:r w:rsidRPr="000B2C9E">
        <w:t>Wskaźniki</w:t>
      </w:r>
      <w:bookmarkEnd w:id="27"/>
    </w:p>
    <w:bookmarkEnd w:id="28"/>
    <w:p w14:paraId="243BA358" w14:textId="77777777" w:rsidR="00CE72CE" w:rsidRPr="00BC5481" w:rsidRDefault="00CE72CE" w:rsidP="008564C7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celu zapewnienia pełnej i rzetelnej informacji na temat efektów wsparcia wnioskodawca ma obowiązek zastosowania w projekcie wszystkich wskaźników rezultatu bezpośredniego i produktu adekwatnych do zakresu i celu realizowanego projektu oraz monitorowania ich w trakcie realizacji projektu. Natomiast inne wspólne wskaźniki produktu są wskaźnikami obligatoryjnymi i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1EF629F5" w14:textId="4C6BA31E" w:rsidR="00CE72CE" w:rsidRPr="00B33F60" w:rsidRDefault="00CE72CE" w:rsidP="008564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846702">
        <w:rPr>
          <w:rFonts w:ascii="Arial" w:eastAsia="Times New Roman" w:hAnsi="Arial" w:cs="Arial"/>
          <w:spacing w:val="-2"/>
          <w:sz w:val="24"/>
          <w:szCs w:val="24"/>
          <w:lang w:eastAsia="pl-PL"/>
        </w:rPr>
        <w:t>Definicje wskaźników znajdują się w Załączniku nr 2 do Regulaminu –</w:t>
      </w:r>
      <w:r w:rsidR="001536BA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6A656F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846702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Pr="00B33F60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51907650" w14:textId="5981F46E" w:rsidR="00912F51" w:rsidRPr="00912F51" w:rsidRDefault="00CE72CE" w:rsidP="008564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 podstawie danych zebranych w CST2021. Podstawą do wprowadzenia informacji o udziale uczestnika będącego osobą fizyczną w projekcie jest zapewnienie danych, których szczegółowy zakres określono w załączniku nr 1 do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dotyczących monitorowania postępu rzeczowego realizacji programów na lata 2021-2027. </w:t>
      </w:r>
    </w:p>
    <w:p w14:paraId="7F31E939" w14:textId="7D9D3DA6" w:rsidR="00CE72CE" w:rsidRPr="00D845E9" w:rsidRDefault="00CE72CE" w:rsidP="000965CD">
      <w:pPr>
        <w:pStyle w:val="1Nagwek"/>
        <w:numPr>
          <w:ilvl w:val="0"/>
          <w:numId w:val="62"/>
        </w:numPr>
        <w:spacing w:after="120"/>
        <w:ind w:left="357" w:hanging="357"/>
      </w:pPr>
      <w:bookmarkStart w:id="29" w:name="_Hlk116993055"/>
      <w:bookmarkStart w:id="30" w:name="_Toc217302985"/>
      <w:r w:rsidRPr="00D845E9">
        <w:t>Zasady finansowania projektu</w:t>
      </w:r>
      <w:bookmarkEnd w:id="29"/>
      <w:bookmarkEnd w:id="30"/>
    </w:p>
    <w:p w14:paraId="38CD220C" w14:textId="77777777" w:rsidR="00CE72CE" w:rsidRPr="00D845E9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D845E9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5A6B3C" w14:textId="77777777" w:rsidR="001536BA" w:rsidRDefault="00CE72CE" w:rsidP="001536BA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D845E9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064869CA" w14:textId="68447571" w:rsidR="00CE72CE" w:rsidRPr="001536BA" w:rsidRDefault="00CE72CE" w:rsidP="001536BA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536BA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 wydatkami ujętymi i zatwierdzonymi w poprzednich wnioskach o płatność) oraz oświadczenie, w którym beneficjent informuje o poniesionej w ramach projektu (narastająco) kwocie kosztów pośrednich z dofinansowania.</w:t>
      </w:r>
    </w:p>
    <w:p w14:paraId="230F116C" w14:textId="77777777" w:rsidR="00CE72CE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Wkład własny to wkład beneficjenta do projektu (pieniężny lub niepieniężny), który nie zostanie przekazany w formie dofinansowania (różnica między kwotą wydatków kwalifikowalnych a kwotą dofinansowania, zgodnie z % dofinansowania wydatków kwalifikowalnych).</w:t>
      </w:r>
    </w:p>
    <w:p w14:paraId="141C2811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jest wykazywany we wniosku o dofinansowanie. To wnioskodawca określa formę wniesienia wkładu własnego. Istnieje możliwość łączenia różnych form wkładu własnego. W przypadku niewniesienia przez wnioskodawcę i partnerów (jeśli dotyczy) wkładu własnego w kwocie określonej w umowie o dofinansowanie projektu, IP może obniżyć kwotę przyznanego dofinansowania proporcjonalnie do jej udziału w całkowitej wartości projektu. Wkład własny, który zostanie rozliczony ponad wysokość wskazaną w umowie o dofinansowanie może zostać uznany za niekwalifikowalny. </w:t>
      </w:r>
    </w:p>
    <w:p w14:paraId="1739C0C3" w14:textId="77777777" w:rsidR="00CE72CE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 własny w formie pieniężnej lub jego część może być wniesiony w kosztach pośrednich. </w:t>
      </w:r>
    </w:p>
    <w:p w14:paraId="0B84C4F8" w14:textId="02C6ADD5" w:rsidR="004C3682" w:rsidRPr="00BC5481" w:rsidRDefault="004C3682" w:rsidP="004C3682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Wkład własny może być finansowany z budżetu jednostek samorządu powiatu jak również ze środków fakultatywnych Funduszu Pracy.</w:t>
      </w:r>
    </w:p>
    <w:p w14:paraId="1DA4AF3D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niepieniężny polega na wniesieniu (wykorzystaniu na rzecz projektu) nieruchomości, urządzeń, materiałów (surowców), wartości niematerialnych i prawnych, ekspertyz lub nieodpłatnej pracy wykonywanej przez wolontariuszy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1989 r. Prawo o stowarzyszeniach – ze składników majątku beneficjenta lub majątku innych podmiotów,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 dofinansowanie projektu.</w:t>
      </w:r>
    </w:p>
    <w:p w14:paraId="51E38C0E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powinna zostać należycie potwierdzona dokumentami o wartości dowodowej równoważnej fakturom lub innymi dokumentami.</w:t>
      </w:r>
    </w:p>
    <w:p w14:paraId="2180C736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6467191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Wkładem własnym niepieniężnym wnoszonym do projektu nie może być wkład, który uprzednio był finansowany ze środków UE. Taka informacja powinna zostać wpisana do wniosku o dofinansowanie. </w:t>
      </w:r>
    </w:p>
    <w:p w14:paraId="623A633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prawnych na rzecz projektu, ich wartość określana jest proporcjonalnie do zakresu ich wykorzystania w projekcie. </w:t>
      </w:r>
    </w:p>
    <w:p w14:paraId="74FD2957" w14:textId="77777777" w:rsidR="00CE72CE" w:rsidRPr="00BC5481" w:rsidRDefault="00CE72CE" w:rsidP="00CE72CE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2F27F22E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nieodpłatnego udziału w realizacji projektu, </w:t>
      </w:r>
    </w:p>
    <w:p w14:paraId="2A82A70E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należy opisać rodzaj nieodpłatnej pracy (określić stanowisko w projekcie), zadania wykonywane i wykazywane przez tę osobę muszą być zgodne 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714F7D7A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 dany rodzaj pracy obowiązującej u danego pracodawcy lub w danym regionie (wyliczonej np. w oparciu o dane GUS), lub płacy minimalnej określonej na podstawie obowiązujących przepisów,</w:t>
      </w:r>
    </w:p>
    <w:p w14:paraId="118DB6C5" w14:textId="77777777" w:rsidR="00CE72CE" w:rsidRPr="00BC5481" w:rsidRDefault="00CE72CE" w:rsidP="008564C7">
      <w:pPr>
        <w:pStyle w:val="Akapitzlist"/>
        <w:numPr>
          <w:ilvl w:val="0"/>
          <w:numId w:val="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rynkowych. Wycena uwzględnia koszt składek na ubezpieczenia społeczne oraz wszystkie pozostałe koszty wynikające z charakteru danego świadczenia, koszt podróży służbowych i diet albo inne niezbędne koszty ponoszone przez osobę świadczącą nieodpłatną pracę w projekcie. Wycena wykonywanego świadczenia może podlegać kontroli.</w:t>
      </w:r>
    </w:p>
    <w:p w14:paraId="04A96A61" w14:textId="77777777" w:rsidR="00CE72CE" w:rsidRPr="00DD2E6B" w:rsidRDefault="00CE72CE" w:rsidP="008564C7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ma obowiązek udzielać zamówień w projekcie oraz realizować te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F702A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 zasadami określon</w:t>
      </w:r>
      <w:r w:rsidRPr="00DD2E6B">
        <w:rPr>
          <w:rFonts w:ascii="Arial" w:hAnsi="Arial" w:cs="Arial"/>
          <w:spacing w:val="-2"/>
          <w:sz w:val="24"/>
          <w:szCs w:val="24"/>
        </w:rPr>
        <w:t>ymi w Wytycznych kwalifikowalności.</w:t>
      </w:r>
    </w:p>
    <w:p w14:paraId="7262B14D" w14:textId="77777777" w:rsidR="00CE72CE" w:rsidRPr="00BC5481" w:rsidRDefault="00CE72CE" w:rsidP="008564C7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DD2E6B">
        <w:rPr>
          <w:rFonts w:ascii="Arial" w:hAnsi="Arial" w:cs="Arial"/>
          <w:spacing w:val="-2"/>
          <w:sz w:val="24"/>
          <w:szCs w:val="24"/>
        </w:rPr>
        <w:t xml:space="preserve">W przypadku, gdy wnioskodawca rozpoczyna realizację projektu na własne ryzyko przed podpisaniem umowy o dofinansowanie projektu, w zakresie </w:t>
      </w:r>
      <w:r w:rsidRPr="00DD2E6B">
        <w:rPr>
          <w:rFonts w:ascii="Arial" w:hAnsi="Arial" w:cs="Arial"/>
          <w:spacing w:val="-2"/>
          <w:sz w:val="24"/>
          <w:szCs w:val="24"/>
        </w:rPr>
        <w:lastRenderedPageBreak/>
        <w:t>zamówień objętych zasadą konkurencyjności upublicznia zapytanie ofertowe za pomocą BK2021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 zasadami określonymi w Wytycznych kwalifikowalności. BK2021 znajduje się na stronie: </w:t>
      </w:r>
      <w:hyperlink r:id="rId1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F38BB4D" w14:textId="77777777" w:rsidR="00CE72CE" w:rsidRPr="00BC5481" w:rsidRDefault="00CE72CE" w:rsidP="008564C7">
      <w:pPr>
        <w:pStyle w:val="Akapitzlist"/>
        <w:numPr>
          <w:ilvl w:val="0"/>
          <w:numId w:val="4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 zobowiązuje beneficjenta do uwzględnienia preferencji dla PES przy udzielaniu zamówień</w:t>
      </w:r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4E765B34" w14:textId="77777777" w:rsidR="00CE72CE" w:rsidRPr="00BC5481" w:rsidRDefault="00CE72CE" w:rsidP="008564C7">
      <w:pPr>
        <w:pStyle w:val="Akapitzlist"/>
        <w:numPr>
          <w:ilvl w:val="0"/>
          <w:numId w:val="2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 działalności pożytku publicznego i o wolontariacie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 dnia 5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 ekonomii społecznej i art. 15a ustawy z dnia 27 kwietnia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2006 r. o spółdzielniach socjalnych, albo </w:t>
      </w:r>
    </w:p>
    <w:p w14:paraId="2D95B8C0" w14:textId="77777777" w:rsidR="00CE72CE" w:rsidRPr="00BC5481" w:rsidRDefault="00CE72CE" w:rsidP="008564C7">
      <w:pPr>
        <w:pStyle w:val="Akapitzlist"/>
        <w:numPr>
          <w:ilvl w:val="0"/>
          <w:numId w:val="29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 zamówień publicznych (jeśli beneficjent jest zobowiązany do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 szczególności klauzuli z art. 94 ust. 1 i 2 oraz z art. 361.</w:t>
      </w:r>
    </w:p>
    <w:p w14:paraId="4202705F" w14:textId="5E05AD84" w:rsidR="00CE72CE" w:rsidRPr="00BC5481" w:rsidRDefault="00CE72CE" w:rsidP="000965CD">
      <w:pPr>
        <w:pStyle w:val="1Nagwek"/>
        <w:numPr>
          <w:ilvl w:val="0"/>
          <w:numId w:val="62"/>
        </w:numPr>
        <w:spacing w:after="120"/>
        <w:ind w:left="357" w:hanging="357"/>
      </w:pPr>
      <w:bookmarkStart w:id="31" w:name="_Hlk116993074"/>
      <w:bookmarkStart w:id="32" w:name="_Toc217302986"/>
      <w:r w:rsidRPr="00BC5481">
        <w:t>Podstawowe warunki i procedury konstruowania budżetu projektu</w:t>
      </w:r>
      <w:bookmarkEnd w:id="31"/>
      <w:bookmarkEnd w:id="32"/>
    </w:p>
    <w:p w14:paraId="729DD3D6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należy przedstawić w formie budżetu zadaniowego, wskazując opis i uzasadnienie poniesienia wydatków. </w:t>
      </w:r>
    </w:p>
    <w:p w14:paraId="2BD4A517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należy dodać zadanie dotyczące rozliczenia kosztów pośrednich.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instrukcji wypełniania wniosku jest informacja, jak dodać zadanie,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żeby koszty pośrednie zostały naliczone w budżecie projektu.</w:t>
      </w:r>
    </w:p>
    <w:p w14:paraId="17CE3003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Budżet jest podstawą do oceny kwalifikowalności wydatków. </w:t>
      </w:r>
    </w:p>
    <w:p w14:paraId="1BD5B661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 dofinansowanie projektu.</w:t>
      </w:r>
    </w:p>
    <w:p w14:paraId="70C259E3" w14:textId="77777777" w:rsidR="00CE72CE" w:rsidRPr="00BC5481" w:rsidRDefault="00CE72CE" w:rsidP="008564C7">
      <w:pPr>
        <w:pStyle w:val="Akapitzlist"/>
        <w:numPr>
          <w:ilvl w:val="0"/>
          <w:numId w:val="30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bezpośrednie to koszty zadań realizowanych w projekcie (zadania merytoryczne).</w:t>
      </w:r>
    </w:p>
    <w:p w14:paraId="6AFF5193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Zatrudniając personel wnioskodawca wskazuje formę zaangażowania i szacunkowy wymiar czasu pracy personelu projektu niezbędnego do realizacji zadań merytorycznych (etat/liczba godzin), uzasadnienie proponowanej kwoty wynagrodzenia. To podstawa do oceny kwalifikowalności wydatków personelu projektu na etapie wyboru projektu oraz w trakcie realizacji.</w:t>
      </w:r>
    </w:p>
    <w:p w14:paraId="5FE954D5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Wynagrodzenie personelu projektu nie może przekroczyć kwoty wynagrodzenia pracowników beneficjenta na podobnych stanowiskach lub na stanowiskach wymagających podobnych kwalifikacji lub kwoty wynikającej z przepisów prawa pracy (art. 9 </w:t>
      </w:r>
      <w:r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§ 1 Kodeksu pracy z dnia 26 czerwca 1974 r.) lub statystyki publicznej. </w:t>
      </w:r>
    </w:p>
    <w:p w14:paraId="156866E4" w14:textId="77777777" w:rsidR="00CE72CE" w:rsidRPr="00BC5481" w:rsidRDefault="00CE72CE" w:rsidP="008564C7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 obsługą projektu, która nie pracuje przy zadaniach merytorycznych. Szczegółowy katalog kosztów pośrednich wskazany został w Wytycznych kwalifikowalności.</w:t>
      </w:r>
    </w:p>
    <w:p w14:paraId="3777BDAF" w14:textId="77777777" w:rsidR="00061260" w:rsidRDefault="00596EE6" w:rsidP="00061260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Ze względu na maksymalną wartość projektu </w:t>
      </w:r>
      <w:r w:rsidRPr="00CE49AA">
        <w:rPr>
          <w:rFonts w:ascii="Arial" w:hAnsi="Arial" w:cs="Arial"/>
          <w:b/>
          <w:bCs/>
          <w:spacing w:val="-2"/>
          <w:sz w:val="28"/>
          <w:szCs w:val="28"/>
        </w:rPr>
        <w:t>dopuszczalna stawka ryczałtowa kosztów pośrednich to 25% kosztów bezpośrednich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14:paraId="3151C083" w14:textId="77777777" w:rsidR="00B66241" w:rsidRDefault="00CE72CE" w:rsidP="00B66241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61260">
        <w:rPr>
          <w:rFonts w:ascii="Arial" w:hAnsi="Arial" w:cs="Arial"/>
          <w:spacing w:val="-2"/>
          <w:sz w:val="24"/>
          <w:szCs w:val="24"/>
        </w:rPr>
        <w:t xml:space="preserve">Niedopuszczalne jest wykazanie kosztów pośrednich w ramach kosztów bezpośrednich. IP weryfikuje, czy w zadaniach określonych w budżecie projektu (w kosztach bezpośrednich) zostały wykazane koszty pośrednie. W trakcie realizacji projektu, IP również sprawdza, czy w zestawieniu poniesionych wydatków bezpośrednich załączanym do wniosku o płatność, nie zostały wykazane wydatki pośrednie. </w:t>
      </w:r>
    </w:p>
    <w:p w14:paraId="6F3416BE" w14:textId="3DECCE83" w:rsidR="00F94B87" w:rsidRPr="00B66241" w:rsidRDefault="00CE72CE" w:rsidP="00B66241">
      <w:pPr>
        <w:pStyle w:val="Akapitzlist"/>
        <w:numPr>
          <w:ilvl w:val="0"/>
          <w:numId w:val="31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6624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B66241">
        <w:rPr>
          <w:rFonts w:ascii="Arial" w:hAnsi="Arial" w:cs="Arial"/>
          <w:iCs/>
          <w:spacing w:val="-2"/>
          <w:sz w:val="24"/>
          <w:szCs w:val="24"/>
        </w:rPr>
        <w:t>:</w:t>
      </w:r>
      <w:r w:rsidR="00794843" w:rsidRPr="00B66241">
        <w:rPr>
          <w:rFonts w:ascii="Arial" w:hAnsi="Arial" w:cs="Arial"/>
          <w:iCs/>
          <w:spacing w:val="-2"/>
          <w:sz w:val="24"/>
          <w:szCs w:val="24"/>
        </w:rPr>
        <w:t xml:space="preserve"> </w:t>
      </w:r>
    </w:p>
    <w:p w14:paraId="543ADE1A" w14:textId="77777777" w:rsidR="00B66241" w:rsidRDefault="00F94B87" w:rsidP="00B66241">
      <w:pPr>
        <w:pStyle w:val="Akapitzlist"/>
        <w:numPr>
          <w:ilvl w:val="0"/>
          <w:numId w:val="7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66241">
        <w:rPr>
          <w:rFonts w:ascii="Arial" w:hAnsi="Arial" w:cs="Arial"/>
          <w:sz w:val="24"/>
          <w:szCs w:val="24"/>
        </w:rPr>
        <w:t>W ramach naboru nie przewidziano możliwości rozliczenia wydatków przy użyciu stawek jednostkowych.</w:t>
      </w:r>
    </w:p>
    <w:p w14:paraId="4E938895" w14:textId="027817EF" w:rsidR="00CE72CE" w:rsidRPr="000C0903" w:rsidRDefault="00B66241" w:rsidP="00CE49AA">
      <w:pPr>
        <w:pStyle w:val="Akapitzlist"/>
        <w:numPr>
          <w:ilvl w:val="0"/>
          <w:numId w:val="78"/>
        </w:numPr>
        <w:spacing w:before="120" w:after="240" w:line="360" w:lineRule="auto"/>
        <w:rPr>
          <w:rFonts w:ascii="Arial" w:hAnsi="Arial" w:cs="Arial"/>
          <w:b/>
          <w:bCs/>
          <w:spacing w:val="-2"/>
          <w:sz w:val="28"/>
          <w:szCs w:val="28"/>
        </w:rPr>
      </w:pPr>
      <w:bookmarkStart w:id="33" w:name="_Hlk228866570"/>
      <w:r w:rsidRPr="000C0903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="00F94B87" w:rsidRPr="000C0903">
        <w:rPr>
          <w:rFonts w:ascii="Arial" w:hAnsi="Arial" w:cs="Arial"/>
          <w:b/>
          <w:bCs/>
          <w:spacing w:val="-2"/>
          <w:sz w:val="28"/>
          <w:szCs w:val="28"/>
        </w:rPr>
        <w:t xml:space="preserve">oszty bezpośrednie projektu obligatoryjnie rozliczane są z zastosowaniem kwot ryczałtowych </w:t>
      </w:r>
      <w:bookmarkEnd w:id="33"/>
      <w:r w:rsidR="00F94B87" w:rsidRPr="000C0903">
        <w:rPr>
          <w:rFonts w:ascii="Arial" w:hAnsi="Arial" w:cs="Arial"/>
          <w:b/>
          <w:bCs/>
          <w:spacing w:val="-2"/>
          <w:sz w:val="28"/>
          <w:szCs w:val="28"/>
        </w:rPr>
        <w:t>określonych przez beneficjenta w oparciu o szczegółowy budżet projektu.</w:t>
      </w:r>
    </w:p>
    <w:p w14:paraId="0A758C0E" w14:textId="77777777" w:rsidR="00F94B87" w:rsidRPr="00BF5077" w:rsidRDefault="00F94B87" w:rsidP="00CE49AA">
      <w:pPr>
        <w:spacing w:before="120" w:after="240" w:line="360" w:lineRule="auto"/>
        <w:ind w:left="284"/>
        <w:rPr>
          <w:rFonts w:ascii="Arial" w:hAnsi="Arial" w:cs="Arial"/>
          <w:sz w:val="24"/>
          <w:szCs w:val="24"/>
        </w:rPr>
      </w:pPr>
      <w:r w:rsidRPr="00BF5077">
        <w:rPr>
          <w:rFonts w:ascii="Arial" w:hAnsi="Arial" w:cs="Arial"/>
          <w:sz w:val="24"/>
          <w:szCs w:val="24"/>
        </w:rPr>
        <w:lastRenderedPageBreak/>
        <w:t>Kwotą ryczałtową jest kwota uzgodniona za wykonanie określonego w projekcie zadania na etapie zatwierdzenia wniosku o dofinansowanie projektu (jedna kwota ryczałtowa = jedno zadanie).</w:t>
      </w:r>
    </w:p>
    <w:p w14:paraId="5A8AAF14" w14:textId="0FA2111E" w:rsidR="00F94B87" w:rsidRPr="00BF5077" w:rsidRDefault="00B66241" w:rsidP="00F94B87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ma</w:t>
      </w:r>
      <w:r w:rsidR="00F94B87" w:rsidRPr="00BF5077">
        <w:rPr>
          <w:rFonts w:ascii="Arial" w:hAnsi="Arial" w:cs="Arial"/>
          <w:sz w:val="24"/>
          <w:szCs w:val="24"/>
        </w:rPr>
        <w:t xml:space="preserve"> możliwości, że jedynie część z zadań w ramach projektu jest rozliczana kwotami ryczałtowymi, natomiast pozostałe zadania na podstawie rzeczywiście poniesionych wydatków.</w:t>
      </w:r>
    </w:p>
    <w:p w14:paraId="156B82BC" w14:textId="77777777" w:rsidR="00F94B87" w:rsidRPr="00BF5077" w:rsidRDefault="00F94B87" w:rsidP="00F94B87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BF5077">
        <w:rPr>
          <w:rFonts w:ascii="Arial" w:hAnsi="Arial" w:cs="Arial"/>
          <w:sz w:val="24"/>
          <w:szCs w:val="24"/>
        </w:rPr>
        <w:t>W przypadku kwot ryczałtowych – weryfikacja wydatków polega na sprawdzeniu czy działania zadeklarowane przez wnioskodawcę zostały zrealizowane i określone wskaźniki zostały osiągnięte. Rozliczenie jest uzależnione od zrealizowania danego zadania/kwoty ryczałtowej. Niewykonanie kwoty ryczałtowej oznacza brak zapłaty za zadanie (system 0</w:t>
      </w:r>
      <w:r w:rsidRPr="00BF5077">
        <w:rPr>
          <w:rFonts w:ascii="Cambria Math" w:hAnsi="Cambria Math" w:cs="Cambria Math"/>
          <w:sz w:val="24"/>
          <w:szCs w:val="24"/>
        </w:rPr>
        <w:t>‐</w:t>
      </w:r>
      <w:r w:rsidRPr="00BF5077">
        <w:rPr>
          <w:rFonts w:ascii="Arial" w:hAnsi="Arial" w:cs="Arial"/>
          <w:sz w:val="24"/>
          <w:szCs w:val="24"/>
        </w:rPr>
        <w:t>1), bowiem kwalifikowanie kwot ryczałtowych odbywa się na podstawie zrealizowanych działań oraz osiągniętych wskaźników przyporządkowanych do kwot ryczałtowych.</w:t>
      </w:r>
    </w:p>
    <w:p w14:paraId="5883326C" w14:textId="77777777" w:rsidR="00F94B87" w:rsidRPr="00BF5077" w:rsidRDefault="00F94B87" w:rsidP="00F94B87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BF5077">
        <w:rPr>
          <w:rFonts w:ascii="Arial" w:hAnsi="Arial" w:cs="Arial"/>
          <w:sz w:val="24"/>
          <w:szCs w:val="24"/>
        </w:rPr>
        <w:t>W przypadku niezrealizowania w pełni wskaźników objętych kwotą ryczałtową, dana kwota będzie uznana za niekwalifikowalną.</w:t>
      </w:r>
    </w:p>
    <w:p w14:paraId="3C32480E" w14:textId="77777777" w:rsidR="00F94B87" w:rsidRPr="00BF5077" w:rsidRDefault="00F94B87" w:rsidP="00F94B87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BF5077">
        <w:rPr>
          <w:rFonts w:ascii="Arial" w:hAnsi="Arial" w:cs="Arial"/>
          <w:sz w:val="24"/>
          <w:szCs w:val="24"/>
        </w:rPr>
        <w:t>W związku z obowiązującą formułą realizacji projektu w oparciu o kwoty ryczałtowe i dokonywaniu płatności za zrealizowanie danego zadania i jego wskaźników (potwierdzonych odpowiednią dokumentacją), zalecane jest takie rozplanowanie zadań w harmonogramie wniosku (odpowiednia sekwencyjność zadań), aby zminimalizować ryzyko utraty płynności finansowej.</w:t>
      </w:r>
    </w:p>
    <w:p w14:paraId="40247F2E" w14:textId="77777777" w:rsidR="00F94B87" w:rsidRPr="00170028" w:rsidRDefault="00F94B87" w:rsidP="00F94B87">
      <w:pPr>
        <w:spacing w:before="120" w:after="120" w:line="360" w:lineRule="auto"/>
        <w:ind w:left="284"/>
        <w:rPr>
          <w:rFonts w:ascii="Arial" w:hAnsi="Arial" w:cs="Arial"/>
          <w:b/>
          <w:sz w:val="28"/>
          <w:szCs w:val="28"/>
        </w:rPr>
      </w:pPr>
      <w:r w:rsidRPr="00170028">
        <w:rPr>
          <w:rFonts w:ascii="Arial" w:hAnsi="Arial" w:cs="Arial"/>
          <w:b/>
          <w:sz w:val="28"/>
          <w:szCs w:val="28"/>
        </w:rPr>
        <w:t>Obligatoryjne jest uzasadnienie wszystkich kosztów składających się na kwotę ryczałtową (pod szczegółowym budżetem projektu). Uzasadnienie to powinno potwierdzać racjonalność wydatku i konieczność jego poniesienia.</w:t>
      </w:r>
    </w:p>
    <w:p w14:paraId="532FCBD2" w14:textId="77777777" w:rsidR="00F94B87" w:rsidRPr="00BF5077" w:rsidRDefault="00F94B87" w:rsidP="00F94B87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0C0903">
        <w:rPr>
          <w:rFonts w:ascii="Arial" w:hAnsi="Arial" w:cs="Arial"/>
          <w:sz w:val="24"/>
          <w:szCs w:val="24"/>
        </w:rPr>
        <w:t xml:space="preserve">Potwierdzenie realizacji zadań następuje na podstawie dokumentacji, której zakres należy określić na etapie przygotowania wniosku o dofinansowanie. Jednocześnie wymienione przez wnioskodawcę dokumenty będą w trakcie rozliczania projektu stanowić podstawę oceny czy wskaźniki określone dla rozliczenia kwoty ryczałtowej zostały osiągnięte na poziomie stanowiącym </w:t>
      </w:r>
      <w:r w:rsidRPr="000C0903">
        <w:rPr>
          <w:rFonts w:ascii="Arial" w:hAnsi="Arial" w:cs="Arial"/>
          <w:sz w:val="24"/>
          <w:szCs w:val="24"/>
        </w:rPr>
        <w:lastRenderedPageBreak/>
        <w:t>minimalny próg, który uprawnia do kwalifikowania wydatków objętych daną kwotą ryczałtową. Dokumenty do rozliczenia kwoty ryczałtowej należy wykazać pod nazwą wskaźnika rozliczającego daną kwotę ryczałtową w podziale na dokumenty do wniosku beneficjenta o płatność (WBoP) i dokumenty do kontroli.</w:t>
      </w:r>
      <w:r w:rsidRPr="00BF5077">
        <w:rPr>
          <w:rFonts w:ascii="Arial" w:hAnsi="Arial" w:cs="Arial"/>
          <w:sz w:val="24"/>
          <w:szCs w:val="24"/>
        </w:rPr>
        <w:t xml:space="preserve"> </w:t>
      </w:r>
    </w:p>
    <w:p w14:paraId="6BAB1566" w14:textId="77777777" w:rsidR="00F94B87" w:rsidRDefault="00F94B87" w:rsidP="00F94B87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BF5077">
        <w:rPr>
          <w:rFonts w:ascii="Arial" w:hAnsi="Arial" w:cs="Arial"/>
          <w:sz w:val="24"/>
          <w:szCs w:val="24"/>
        </w:rPr>
        <w:t>Szczegółowe informacje dotyczące stosowania uproszczonych metod rozliczania wydatków znajdują się w Wytycznych kwalifikowalności</w:t>
      </w:r>
      <w:r>
        <w:rPr>
          <w:rFonts w:ascii="Arial" w:hAnsi="Arial" w:cs="Arial"/>
          <w:sz w:val="24"/>
          <w:szCs w:val="24"/>
        </w:rPr>
        <w:t>,</w:t>
      </w:r>
      <w:r w:rsidRPr="00BF5077">
        <w:rPr>
          <w:rFonts w:ascii="Arial" w:hAnsi="Arial" w:cs="Arial"/>
          <w:sz w:val="24"/>
          <w:szCs w:val="24"/>
        </w:rPr>
        <w:t xml:space="preserve"> w szczególności w rozdziale „Uproszczone metody rozliczania wydatków”</w:t>
      </w:r>
      <w:r>
        <w:rPr>
          <w:rFonts w:ascii="Arial" w:hAnsi="Arial" w:cs="Arial"/>
          <w:sz w:val="24"/>
          <w:szCs w:val="24"/>
        </w:rPr>
        <w:t>.</w:t>
      </w:r>
    </w:p>
    <w:p w14:paraId="30ABEB6B" w14:textId="77777777" w:rsidR="00170028" w:rsidRDefault="00F94B87" w:rsidP="00170028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BF5077">
        <w:rPr>
          <w:rFonts w:ascii="Arial" w:hAnsi="Arial" w:cs="Arial"/>
          <w:sz w:val="24"/>
          <w:szCs w:val="24"/>
        </w:rPr>
        <w:t>Wskaźniki będące podstawą do rozliczenia kwot ryczałtowych nie powinny być wykazywane w sekcji „Wskaźniki projektu”.</w:t>
      </w:r>
    </w:p>
    <w:p w14:paraId="502A9C6C" w14:textId="0D369B3A" w:rsidR="00170028" w:rsidRDefault="00F94B87" w:rsidP="00170028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 w:rsidRPr="000C0903">
        <w:rPr>
          <w:rFonts w:ascii="Arial" w:hAnsi="Arial" w:cs="Arial"/>
          <w:b/>
          <w:bCs/>
          <w:spacing w:val="-2"/>
          <w:sz w:val="28"/>
          <w:szCs w:val="28"/>
        </w:rPr>
        <w:t>W załączniku nr 2 do Regulaminu określono wskaźniki i</w:t>
      </w:r>
      <w:r w:rsidR="00170028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Pr="000C0903">
        <w:rPr>
          <w:rFonts w:ascii="Arial" w:hAnsi="Arial" w:cs="Arial"/>
          <w:b/>
          <w:bCs/>
          <w:spacing w:val="-2"/>
          <w:sz w:val="28"/>
          <w:szCs w:val="28"/>
        </w:rPr>
        <w:t xml:space="preserve">przykładowe dokumenty wymagane dla wybranych kwot ryczałtowych. </w:t>
      </w:r>
    </w:p>
    <w:p w14:paraId="22FEFBCC" w14:textId="34738E66" w:rsidR="004F2C0D" w:rsidRPr="00170028" w:rsidRDefault="004F2C0D" w:rsidP="00170028">
      <w:pPr>
        <w:spacing w:before="120" w:after="12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W załączniku nr 4 do Regulaminu przedstawiono ceny rynkowe form wsparcia. </w:t>
      </w:r>
    </w:p>
    <w:p w14:paraId="65DB6CFC" w14:textId="1A5EE95A" w:rsidR="00CE72CE" w:rsidRPr="00110495" w:rsidRDefault="006F5C69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4347E4">
        <w:rPr>
          <w:rFonts w:ascii="Arial" w:hAnsi="Arial" w:cs="Arial"/>
          <w:b/>
          <w:bCs/>
          <w:spacing w:val="-2"/>
          <w:sz w:val="28"/>
          <w:szCs w:val="28"/>
        </w:rPr>
        <w:t>Wydatki poniesione na podatek od towarów i usług mogą zostać uznane za kwalifikowalne w projekcie, którego łączny koszt jest mniejszy niż 5 mln EUR (włączając VAT), z wyłączeniem projektów objętych pomocą publiczną</w:t>
      </w:r>
      <w:r>
        <w:rPr>
          <w:rFonts w:ascii="Arial" w:hAnsi="Arial" w:cs="Arial"/>
          <w:b/>
          <w:bCs/>
          <w:spacing w:val="-2"/>
          <w:sz w:val="28"/>
          <w:szCs w:val="28"/>
        </w:rPr>
        <w:t>.</w:t>
      </w:r>
      <w:r w:rsidR="00CE72CE" w:rsidRPr="00110495">
        <w:rPr>
          <w:rFonts w:ascii="Arial" w:hAnsi="Arial" w:cs="Arial"/>
          <w:spacing w:val="-2"/>
          <w:sz w:val="24"/>
          <w:szCs w:val="24"/>
        </w:rPr>
        <w:t>:</w:t>
      </w:r>
    </w:p>
    <w:p w14:paraId="72EDE5FF" w14:textId="5871163E" w:rsidR="00CE72CE" w:rsidRPr="00110495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>Nie przewiduje się możliwości częściowego kwalifikowania podatku VAT w</w:t>
      </w:r>
      <w:r w:rsidR="00170028">
        <w:rPr>
          <w:rFonts w:ascii="Arial" w:hAnsi="Arial" w:cs="Arial"/>
          <w:spacing w:val="-2"/>
          <w:sz w:val="24"/>
          <w:szCs w:val="24"/>
        </w:rPr>
        <w:t> </w:t>
      </w:r>
      <w:r w:rsidRPr="00110495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2B9D60F2" w14:textId="7DDBD236" w:rsidR="00CE72CE" w:rsidRPr="00110495" w:rsidRDefault="00CE72CE" w:rsidP="008564C7">
      <w:pPr>
        <w:pStyle w:val="Akapitzlist"/>
        <w:numPr>
          <w:ilvl w:val="0"/>
          <w:numId w:val="31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110495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4F9D00C0" w14:textId="1FFD715C" w:rsidR="00CE72CE" w:rsidRPr="004540E8" w:rsidRDefault="00CE72CE" w:rsidP="00CE49AA">
      <w:pPr>
        <w:pStyle w:val="Akapitzlist"/>
        <w:numPr>
          <w:ilvl w:val="0"/>
          <w:numId w:val="31"/>
        </w:numPr>
        <w:spacing w:before="120"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10495">
        <w:rPr>
          <w:rFonts w:ascii="Arial" w:hAnsi="Arial" w:cs="Arial"/>
          <w:spacing w:val="-2"/>
          <w:sz w:val="24"/>
          <w:szCs w:val="24"/>
        </w:rPr>
        <w:t xml:space="preserve">Jeżeli </w:t>
      </w:r>
      <w:r w:rsidRPr="00A51DE3">
        <w:rPr>
          <w:rFonts w:ascii="Arial" w:hAnsi="Arial" w:cs="Arial"/>
          <w:spacing w:val="-2"/>
          <w:sz w:val="24"/>
          <w:szCs w:val="24"/>
        </w:rPr>
        <w:t xml:space="preserve">podatek VAT zostanie uznany za niekwalifikowalny, zastosowanie mają przepisy § </w:t>
      </w:r>
      <w:r w:rsidR="00051E3C" w:rsidRPr="00A51DE3">
        <w:rPr>
          <w:rFonts w:ascii="Arial" w:hAnsi="Arial" w:cs="Arial"/>
          <w:spacing w:val="-2"/>
          <w:sz w:val="24"/>
          <w:szCs w:val="24"/>
        </w:rPr>
        <w:t>1</w:t>
      </w:r>
      <w:r w:rsidR="00A51DE3" w:rsidRPr="00A51DE3">
        <w:rPr>
          <w:rFonts w:ascii="Arial" w:hAnsi="Arial" w:cs="Arial"/>
          <w:spacing w:val="-2"/>
          <w:sz w:val="24"/>
          <w:szCs w:val="24"/>
        </w:rPr>
        <w:t>3</w:t>
      </w:r>
      <w:r w:rsidR="00051E3C" w:rsidRPr="00A51DE3">
        <w:rPr>
          <w:rFonts w:ascii="Arial" w:hAnsi="Arial" w:cs="Arial"/>
          <w:spacing w:val="-2"/>
          <w:sz w:val="24"/>
          <w:szCs w:val="24"/>
        </w:rPr>
        <w:t xml:space="preserve"> </w:t>
      </w:r>
      <w:r w:rsidRPr="00A51DE3">
        <w:rPr>
          <w:rFonts w:ascii="Arial" w:hAnsi="Arial" w:cs="Arial"/>
          <w:spacing w:val="-2"/>
          <w:sz w:val="24"/>
          <w:szCs w:val="24"/>
        </w:rPr>
        <w:t>umowy o dofinasowanie.</w:t>
      </w:r>
    </w:p>
    <w:p w14:paraId="263510F1" w14:textId="2C2AB00A" w:rsidR="00CE72CE" w:rsidRPr="00154A15" w:rsidRDefault="00CE72CE" w:rsidP="00170028">
      <w:pPr>
        <w:pStyle w:val="1Nagwek"/>
        <w:numPr>
          <w:ilvl w:val="0"/>
          <w:numId w:val="62"/>
        </w:numPr>
        <w:spacing w:before="120" w:after="120"/>
        <w:ind w:left="357" w:hanging="357"/>
      </w:pPr>
      <w:bookmarkStart w:id="34" w:name="_Toc217302987"/>
      <w:r w:rsidRPr="00154A15">
        <w:t>Pomoc publiczna i pomoc de minimis</w:t>
      </w:r>
      <w:bookmarkEnd w:id="34"/>
    </w:p>
    <w:p w14:paraId="0FD3C6EF" w14:textId="2EA51BAB" w:rsidR="00CE72CE" w:rsidRPr="006F5C69" w:rsidRDefault="00F94B87" w:rsidP="009461E7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bookmarkStart w:id="35" w:name="_Hlk116642650"/>
      <w:r w:rsidRPr="00F94B87">
        <w:rPr>
          <w:rFonts w:ascii="Arial" w:eastAsia="Calibri" w:hAnsi="Arial" w:cs="Arial"/>
          <w:sz w:val="24"/>
          <w:szCs w:val="24"/>
        </w:rPr>
        <w:t>W ramach wskazanego naboru nie dotyczy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A837A3E" w14:textId="4C79474A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36" w:name="_Toc217302988"/>
      <w:r w:rsidRPr="00BC5481">
        <w:lastRenderedPageBreak/>
        <w:t>Projekty partnerskie</w:t>
      </w:r>
      <w:bookmarkEnd w:id="35"/>
      <w:bookmarkEnd w:id="36"/>
    </w:p>
    <w:p w14:paraId="30F577F0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zakresie wymagań dotyczących partnerstwa wnioskodawca zobowiązany jest stosować przepis art. 39 ustawy wdrożeniowej.</w:t>
      </w:r>
    </w:p>
    <w:p w14:paraId="5406FCBE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39 ustawy wdrożeniowej pomiędzy wnioskodawcą a partnerem/partnerami zawarta zostaje pisemna umowa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porozumienie. </w:t>
      </w:r>
    </w:p>
    <w:p w14:paraId="2B1AD499" w14:textId="77777777" w:rsidR="00CE72CE" w:rsidRPr="00BC5481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 zobowiązany do dostarczenia IP umowy o partnerstwie lub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naborze. </w:t>
      </w:r>
    </w:p>
    <w:p w14:paraId="3F5AC7AD" w14:textId="77777777" w:rsidR="00CE72CE" w:rsidRPr="00280BFA" w:rsidRDefault="00CE72CE" w:rsidP="008564C7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8"/>
          <w:szCs w:val="28"/>
        </w:rPr>
      </w:pPr>
      <w:r w:rsidRPr="00280BFA">
        <w:rPr>
          <w:rFonts w:ascii="Arial" w:hAnsi="Arial" w:cs="Arial"/>
          <w:b/>
          <w:spacing w:val="-2"/>
          <w:sz w:val="28"/>
          <w:szCs w:val="28"/>
        </w:rPr>
        <w:t>W projektach partnerskich wzajemne zlecanie przez partnerów realizacji zadań przez personel projektu jest niedopuszczalne.</w:t>
      </w:r>
    </w:p>
    <w:p w14:paraId="67444AAC" w14:textId="77777777" w:rsidR="006F5C69" w:rsidRDefault="00CE72CE" w:rsidP="006F5C69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 dofinansowanie rachunku płatniczego beneficjenta (partnera wiodącego).</w:t>
      </w:r>
    </w:p>
    <w:p w14:paraId="0BE65F92" w14:textId="20FD8D46" w:rsidR="00120E5E" w:rsidRPr="00234635" w:rsidRDefault="00CE72CE" w:rsidP="00234635">
      <w:pPr>
        <w:pStyle w:val="Akapitzlist"/>
        <w:numPr>
          <w:ilvl w:val="0"/>
          <w:numId w:val="1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6F5C69">
        <w:rPr>
          <w:rFonts w:ascii="Arial" w:hAnsi="Arial" w:cs="Arial"/>
          <w:spacing w:val="-2"/>
          <w:sz w:val="24"/>
          <w:szCs w:val="24"/>
        </w:rPr>
        <w:t xml:space="preserve">W przypadkach uzasadnionych koniecznością zapewnienia prawidłowej i terminowej realizacji projektu za zgodą IP może nastąpić zmiana partnera. Do zmiany partnera stosuje się przepisy art. 39 </w:t>
      </w:r>
      <w:r w:rsidRPr="006F5C69">
        <w:rPr>
          <w:rFonts w:ascii="Arial" w:hAnsi="Arial" w:cs="Arial"/>
          <w:iCs/>
          <w:spacing w:val="-2"/>
          <w:sz w:val="24"/>
          <w:szCs w:val="24"/>
        </w:rPr>
        <w:t>ustawy wdrożeniowej.</w:t>
      </w:r>
    </w:p>
    <w:p w14:paraId="16FBEA93" w14:textId="63B0BC8B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37" w:name="_Toc217302989"/>
      <w:r w:rsidRPr="00BC5481">
        <w:t>Procedura składania wniosku o dofinansowanie</w:t>
      </w:r>
      <w:bookmarkEnd w:id="37"/>
    </w:p>
    <w:p w14:paraId="5962C592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należy złożyć wyłącznie </w:t>
      </w:r>
      <w:r w:rsidRPr="00883021">
        <w:rPr>
          <w:rFonts w:ascii="Arial" w:hAnsi="Arial" w:cs="Arial"/>
          <w:b/>
          <w:spacing w:val="-2"/>
          <w:sz w:val="28"/>
          <w:szCs w:val="28"/>
        </w:rPr>
        <w:t>w wersji elektronicznej za pośrednictwem aplikacji</w:t>
      </w:r>
      <w:r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stronie internetowej: </w:t>
      </w:r>
      <w:hyperlink r:id="rId2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D424669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zgodnie z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która jest dostępna na stronie </w:t>
      </w:r>
      <w:hyperlink r:id="rId2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293F1DA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70B20B83" w14:textId="77777777" w:rsidR="00CE72CE" w:rsidRPr="00BC5481" w:rsidRDefault="00CE72CE" w:rsidP="00CE72CE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założyć konto i zarejestrować organizację wnioskodawcy (o ile nie została wcześniej zarejestrowana) zgodnie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Instrukcją Użytkownika Systemu Obsługi Wniosków Aplikacyjnych Europejskiego Funduszu Społecznego (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>) dla wnioskodawców/beneficjentów. Konto wnioskodawcy będzie wykorzystywane podczas całego postępowania wyboru projektu.</w:t>
      </w:r>
    </w:p>
    <w:p w14:paraId="7970A031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wypełniać wniosek o dofinansowanie zgodnie z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0BE5E86" w14:textId="77777777" w:rsidR="00CE72CE" w:rsidRPr="00BC5481" w:rsidRDefault="00CE72CE" w:rsidP="008564C7">
      <w:pPr>
        <w:numPr>
          <w:ilvl w:val="0"/>
          <w:numId w:val="3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523D3C14" w14:textId="77777777" w:rsidR="00CE72CE" w:rsidRPr="00BC5481" w:rsidRDefault="00CE72CE" w:rsidP="008564C7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złożeniu wniosku, wnioskodawca może go anulować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ocenie i oznacza rezygnację z ubiegania się o dofinansowanie tego projektu. Anulować wniosek można w każdej fazie naboru, do momentu podpisania umowy o dofinansowanie z IP. </w:t>
      </w:r>
    </w:p>
    <w:p w14:paraId="1236BFC8" w14:textId="77777777" w:rsidR="00CE72CE" w:rsidRPr="00BC5481" w:rsidRDefault="00CE72CE" w:rsidP="008564C7">
      <w:pPr>
        <w:pStyle w:val="Akapitzlist"/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59682070" w14:textId="5E463C1C" w:rsidR="00CE72CE" w:rsidRPr="00BC5481" w:rsidRDefault="00CE72CE" w:rsidP="008564C7">
      <w:pPr>
        <w:numPr>
          <w:ilvl w:val="0"/>
          <w:numId w:val="3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ION a wnioskodawcą prowadzona jest w 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AB15F27" w14:textId="77777777" w:rsidR="00CE72CE" w:rsidRPr="00BC5481" w:rsidRDefault="00CE72CE" w:rsidP="008564C7">
      <w:pPr>
        <w:pStyle w:val="Akapitzlist"/>
        <w:numPr>
          <w:ilvl w:val="0"/>
          <w:numId w:val="3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ION o każdej zmianie swojego adresu, w tym adresu elektronicznego. W razie zaniedbania w/w obowiązku doręczenie pisma/wiadomości pod dotychczasowym adresem ma skutek prawny. </w:t>
      </w:r>
    </w:p>
    <w:p w14:paraId="519C1550" w14:textId="095D3998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Terminy określone w korespondencji doręczanej w </w:t>
      </w:r>
      <w:r w:rsidRPr="006F5C69">
        <w:rPr>
          <w:rFonts w:ascii="Arial" w:hAnsi="Arial" w:cs="Arial"/>
          <w:spacing w:val="-2"/>
          <w:sz w:val="24"/>
          <w:szCs w:val="24"/>
        </w:rPr>
        <w:t>module Korespondencja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następnego po dniu jej wysłania.</w:t>
      </w:r>
    </w:p>
    <w:p w14:paraId="6BEA761A" w14:textId="58773ADC" w:rsidR="00CE72CE" w:rsidRPr="0088302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korespondencji składanej przez wnioskodawcę </w:t>
      </w:r>
      <w:r w:rsidRPr="006F5C69">
        <w:rPr>
          <w:rFonts w:ascii="Arial" w:hAnsi="Arial" w:cs="Arial"/>
          <w:spacing w:val="-2"/>
          <w:sz w:val="24"/>
          <w:szCs w:val="24"/>
        </w:rPr>
        <w:t>za pośrednictwem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 za datę skutecznego złożenia uznaje się datę jej wpływu do ION.</w:t>
      </w:r>
    </w:p>
    <w:p w14:paraId="1CC1ADB2" w14:textId="77777777" w:rsidR="00CE72CE" w:rsidRPr="0088302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ION nie będzie brała pod uwagę wyjaśnień, uzupełnień, poprawek przekazanych w inny sposób. </w:t>
      </w:r>
    </w:p>
    <w:p w14:paraId="4D314F05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 błędy związane z działaniem aplikacji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2" w:history="1">
        <w:r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o dofinansowanie za pomocą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3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oraz </w:t>
      </w:r>
      <w:hyperlink r:id="rId24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7B145FC" w14:textId="77777777" w:rsidR="00CE72CE" w:rsidRPr="00BC54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ION.</w:t>
      </w:r>
    </w:p>
    <w:p w14:paraId="66D6C636" w14:textId="77777777" w:rsidR="00CE72CE" w:rsidRPr="00A41681" w:rsidRDefault="00CE72CE" w:rsidP="008564C7">
      <w:pPr>
        <w:pStyle w:val="Akapitzlist"/>
        <w:numPr>
          <w:ilvl w:val="0"/>
          <w:numId w:val="3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A41681">
        <w:rPr>
          <w:rFonts w:ascii="Arial" w:hAnsi="Arial" w:cs="Arial"/>
          <w:b/>
          <w:spacing w:val="-2"/>
          <w:sz w:val="28"/>
          <w:szCs w:val="28"/>
        </w:rPr>
        <w:t>Złożenie wniosku w aplikacji SOWA EFS oznacza potwierdzenie zgodności z prawdą treści zawartych w formularzu wniosku, zarówno ze strony wnioskodawcy, jak i realizatorów, w tym partnerów.</w:t>
      </w:r>
    </w:p>
    <w:p w14:paraId="587EF496" w14:textId="0E3E1876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38" w:name="_Toc217302990"/>
      <w:bookmarkStart w:id="39" w:name="_Toc431974593"/>
      <w:r w:rsidRPr="00BC5481">
        <w:t>Sposób wyboru projektu i opis procedury oceny projektu</w:t>
      </w:r>
      <w:bookmarkEnd w:id="38"/>
    </w:p>
    <w:bookmarkEnd w:id="39"/>
    <w:p w14:paraId="1979F8B5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Celem naboru jest wybór do dofinansowania projektów spełniających kryteria wyboru projektów zatwierdzone przez Komitet Monitorujący program regionalny Fundusze Europejskie dla Łódzkiego 2021-2027 (KM FEŁ).</w:t>
      </w:r>
    </w:p>
    <w:p w14:paraId="774705E7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na podstawie kryteriów wyboru projektów, stanowiących Załącznik nr 1 do Regulaminu.</w:t>
      </w:r>
    </w:p>
    <w:p w14:paraId="7ABA5A10" w14:textId="517CD118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0902CC">
        <w:rPr>
          <w:rFonts w:ascii="Arial" w:hAnsi="Arial" w:cs="Arial"/>
          <w:spacing w:val="-2"/>
          <w:sz w:val="24"/>
          <w:szCs w:val="24"/>
        </w:rPr>
        <w:t xml:space="preserve">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1322FA">
        <w:rPr>
          <w:rStyle w:val="highlight"/>
          <w:rFonts w:ascii="Arial" w:hAnsi="Arial" w:cs="Arial"/>
          <w:spacing w:val="-2"/>
          <w:sz w:val="24"/>
          <w:szCs w:val="24"/>
        </w:rPr>
        <w:t>KOP. Powołania KOP i określenia regulaminu jej pracy dokonuje ION na podstawie przepisów art. 53 ustawy wdrożeniowej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.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IP. Informacja o składzie KOP zostanie zamieszczona na stronie internetowej </w:t>
      </w:r>
      <w:hyperlink r:id="rId2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7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naboru.</w:t>
      </w:r>
    </w:p>
    <w:p w14:paraId="5A1E0E6C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 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4E1C33C1" w14:textId="77777777" w:rsidR="00CE72CE" w:rsidRPr="00BC5481" w:rsidRDefault="00CE72CE" w:rsidP="008564C7">
      <w:pPr>
        <w:pStyle w:val="Akapitzlist"/>
        <w:numPr>
          <w:ilvl w:val="0"/>
          <w:numId w:val="4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składa się z etapu oceny merytorycznej i etapu negocjacji. </w:t>
      </w:r>
    </w:p>
    <w:p w14:paraId="2AFA49E2" w14:textId="181A9F7A" w:rsidR="00CE72CE" w:rsidRDefault="00CE72CE" w:rsidP="008564C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lastRenderedPageBreak/>
        <w:t>Ocenie podlega każdy wniosek o dofinansowanie, który wpłynął w terminie naboru, o ile nie został wycofany przez wnioskodawcę.</w:t>
      </w:r>
    </w:p>
    <w:p w14:paraId="5EF1239D" w14:textId="3682A0A7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40" w:name="_Toc217302991"/>
      <w:r w:rsidRPr="00BC5481">
        <w:t>Etap 1 - ocena merytoryczna projektu</w:t>
      </w:r>
      <w:bookmarkEnd w:id="40"/>
    </w:p>
    <w:p w14:paraId="63F026EF" w14:textId="3F8F6AA1" w:rsidR="00CE72CE" w:rsidRPr="00BC5481" w:rsidRDefault="00CE72CE" w:rsidP="008564C7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dokonywana jest przez </w:t>
      </w:r>
      <w:r w:rsidRPr="001322FA">
        <w:rPr>
          <w:rStyle w:val="markedcontent"/>
          <w:rFonts w:ascii="Arial" w:hAnsi="Arial" w:cs="Arial"/>
          <w:spacing w:val="-2"/>
          <w:sz w:val="24"/>
          <w:szCs w:val="24"/>
        </w:rPr>
        <w:t>co najmniej dwóch</w:t>
      </w:r>
      <w:r w:rsidRPr="00BC5481">
        <w:rPr>
          <w:rStyle w:val="markedcontent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członków KOP będących pracownikami ION na zasadach porozumienia, co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oznacza, że 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0F12840E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Ocena merytoryczna projektów polega na weryfikacji, czy wniosek o dofinansowanie spełnia: </w:t>
      </w:r>
    </w:p>
    <w:p w14:paraId="5460CFC5" w14:textId="77777777" w:rsidR="00CE72CE" w:rsidRPr="00BC5481" w:rsidRDefault="00CE72CE" w:rsidP="008564C7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210FABBC" w14:textId="77777777" w:rsidR="00CE72CE" w:rsidRPr="00BC5481" w:rsidRDefault="00CE72CE" w:rsidP="008564C7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26B51793" w14:textId="1A403A95" w:rsidR="00CE72CE" w:rsidRPr="00EC0F5F" w:rsidRDefault="00CE72CE" w:rsidP="00EC0F5F">
      <w:pPr>
        <w:pStyle w:val="Akapitzlist"/>
        <w:numPr>
          <w:ilvl w:val="0"/>
          <w:numId w:val="13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 decydujący o kolejności projektów z taką samą liczbą punktów)</w:t>
      </w:r>
      <w:r w:rsidRPr="00EC0F5F">
        <w:rPr>
          <w:rFonts w:ascii="Arial" w:hAnsi="Arial" w:cs="Arial"/>
          <w:spacing w:val="-2"/>
          <w:sz w:val="24"/>
          <w:szCs w:val="24"/>
        </w:rPr>
        <w:t>.</w:t>
      </w:r>
    </w:p>
    <w:p w14:paraId="0C563C3F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Każdy wniosek o dofinansowanie projektu podlega ocenie spełniania przez niego kryteriów merytorycznych dostępu i specyficznych kryteriów merytorycznych (ocenianych w sposób: „tak”, lub „tak do negocjacji”, „nie” lub stwierdzeniu, że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 oraz kryteriów merytorycznych punktowych.</w:t>
      </w:r>
    </w:p>
    <w:p w14:paraId="58459F8D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Treść wniosku o dofinansowanie musi pozwalać na jednoznaczne stwierdzenie, czy dane kryterium jest spełnione. </w:t>
      </w:r>
    </w:p>
    <w:p w14:paraId="0206D8D1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oceniający uznają, że projekt nie spełnia któregokolwiek z kryteriów, zapisują to w karcie oceny merytorycznej, uzasadniając szczegółowo swoją ocenę. </w:t>
      </w:r>
    </w:p>
    <w:p w14:paraId="5BB86F50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merytorycznych kryteriów punktowych oceniający mogą przyznać maksymalnie 70 punktów. Ocena w każdej części wniosku o dofinansowanie przedstawiana jest w postaci liczb całkowitych (bez części ułamkowych).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rozstrzygające, które decydują o kolejności projektów z taką samą liczbą punktów.</w:t>
      </w:r>
    </w:p>
    <w:p w14:paraId="4D934268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Gdy oceniający stwierdzą, że treść wniosku pozwala na przyznanie przynajmniej 50% punktów za spełnienie każdego merytorycznego kryterium punktowego,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jednak ich zdaniem niezbędne jest uściślenie treści wniosku lub wprowadzenie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 zmian w celu poprawy jego jakości, projekt jest kierowany w tym zakresie do negocjacji.</w:t>
      </w:r>
    </w:p>
    <w:p w14:paraId="2567614E" w14:textId="77777777" w:rsidR="00CE72CE" w:rsidRPr="00BC5481" w:rsidRDefault="00CE72CE" w:rsidP="008564C7">
      <w:pPr>
        <w:numPr>
          <w:ilvl w:val="0"/>
          <w:numId w:val="32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 i nie jest kierowany do etapu negocjacji, gdy:</w:t>
      </w:r>
    </w:p>
    <w:p w14:paraId="0A0CB8CB" w14:textId="77777777" w:rsidR="00CE72CE" w:rsidRPr="00BC5481" w:rsidRDefault="00CE72CE" w:rsidP="008564C7">
      <w:pPr>
        <w:numPr>
          <w:ilvl w:val="0"/>
          <w:numId w:val="47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2519F3DA" w14:textId="77777777" w:rsidR="00CE72CE" w:rsidRPr="00BC5481" w:rsidRDefault="00CE72CE" w:rsidP="008564C7">
      <w:pPr>
        <w:numPr>
          <w:ilvl w:val="0"/>
          <w:numId w:val="47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punktowych,</w:t>
      </w:r>
    </w:p>
    <w:p w14:paraId="6FACBD32" w14:textId="77777777" w:rsidR="00CE72CE" w:rsidRPr="00BC5481" w:rsidRDefault="00CE72CE" w:rsidP="008564C7">
      <w:pPr>
        <w:pStyle w:val="Akapitzlist"/>
        <w:numPr>
          <w:ilvl w:val="0"/>
          <w:numId w:val="32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na etapie oceny merytorycznej i może zostać przekazany do etapu negocjacji, gdy: </w:t>
      </w:r>
    </w:p>
    <w:p w14:paraId="50E3208C" w14:textId="77777777" w:rsidR="00CE72CE" w:rsidRPr="00BC5481" w:rsidRDefault="00CE72CE" w:rsidP="008564C7">
      <w:pPr>
        <w:numPr>
          <w:ilvl w:val="0"/>
          <w:numId w:val="48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wszystkie merytoryczne kryteria dostępu oraz specyficzne kryteria merytoryczne za spełnione, lub uznali je za spełnione i skierowali je do negocjacji w trybie art. 55 ust. 1 ustawy wdrożeniowej oraz</w:t>
      </w:r>
    </w:p>
    <w:p w14:paraId="34647E97" w14:textId="6CD1F04E" w:rsidR="00CE72CE" w:rsidRPr="00BC5481" w:rsidRDefault="00CE72CE" w:rsidP="008564C7">
      <w:pPr>
        <w:numPr>
          <w:ilvl w:val="0"/>
          <w:numId w:val="48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kryteriach merytorycznych punktowych oceniający przyznali przynajmniej minimum punktowe, określone dla każdego z kryteriów merytorycznych punktowych, konieczne do przyznania dofinansowania lub przyznali minimum punktowe i skierowali je do negocjacji w trybie art. 55 ust. 1 ustawy wdrożeniowej.</w:t>
      </w:r>
    </w:p>
    <w:p w14:paraId="3D73F25F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ION zamieszcza listę wniosków skierowanych do kolejnego etapu oceny na stronie </w:t>
      </w:r>
      <w:hyperlink r:id="rId28" w:history="1">
        <w:r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9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i portalu.</w:t>
      </w:r>
    </w:p>
    <w:p w14:paraId="2425F244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otrzymał negatywną ocenę merytoryczną informowany jest pisemnie o wyniku oceny wraz z uzasadnieniem i pouczeniem o możliwości złożenia protestu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ECBE6AE" w14:textId="77777777" w:rsidR="00CE72CE" w:rsidRPr="00BC5481" w:rsidRDefault="00CE72CE" w:rsidP="008564C7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 możliwości wniesienia protestu oraz kopię KOM w postaci załącznika, z zastrzeżeniem, że ION przekazując wnioskodawcy tę informację, zachowuje zasadę anonimowości osób dokonujących oceny.</w:t>
      </w:r>
    </w:p>
    <w:p w14:paraId="4F5D8218" w14:textId="77777777" w:rsidR="00CE72CE" w:rsidRPr="00BC5481" w:rsidRDefault="00CE72CE" w:rsidP="008564C7">
      <w:pPr>
        <w:numPr>
          <w:ilvl w:val="0"/>
          <w:numId w:val="32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 formie elektronicznej), powinien taką informację zgłosić do ION.</w:t>
      </w:r>
    </w:p>
    <w:p w14:paraId="5154A73D" w14:textId="7BFA8398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41" w:name="_Toc217302992"/>
      <w:r w:rsidRPr="00BC5481">
        <w:lastRenderedPageBreak/>
        <w:t>Etap 2 - negocjacje</w:t>
      </w:r>
      <w:bookmarkEnd w:id="41"/>
      <w:r w:rsidRPr="00BC5481">
        <w:t xml:space="preserve"> </w:t>
      </w:r>
    </w:p>
    <w:p w14:paraId="37A0A4CE" w14:textId="77777777" w:rsidR="00CE72CE" w:rsidRPr="00BC5481" w:rsidRDefault="00CE72CE" w:rsidP="008564C7">
      <w:pPr>
        <w:pStyle w:val="Akapitzlist"/>
        <w:numPr>
          <w:ilvl w:val="0"/>
          <w:numId w:val="33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mogą być przeprowadzone również przez pracowników ION powołanych do składu KOP, którzy nie dokonywali oceny danego projektu.</w:t>
      </w:r>
    </w:p>
    <w:p w14:paraId="28DF3DEA" w14:textId="5D76E430" w:rsidR="00CE72CE" w:rsidRPr="00BC5481" w:rsidRDefault="00CE72CE" w:rsidP="008564C7">
      <w:pPr>
        <w:pStyle w:val="Akapitzlist"/>
        <w:numPr>
          <w:ilvl w:val="0"/>
          <w:numId w:val="33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ustalaniu warunków negocjacyjnych może brać udział także przewodniczący KOP.</w:t>
      </w:r>
    </w:p>
    <w:p w14:paraId="17571400" w14:textId="77777777" w:rsidR="00CE72CE" w:rsidRPr="00BC5481" w:rsidRDefault="00CE72CE" w:rsidP="008564C7">
      <w:pPr>
        <w:pStyle w:val="Akapitzlist"/>
        <w:numPr>
          <w:ilvl w:val="0"/>
          <w:numId w:val="33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Negocjacjom podlegają kwestie wskazane w KOM lub dodatkowe kwestie podniesione przez p</w:t>
      </w:r>
      <w:r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>astępcę w trakcie procesu negocjacji. ION przesyła wnioskodawcy wiadomość w module Korespondencja SOWA EFS zawierającą uzgodnione stanowisko KOP ze wskazaniem:</w:t>
      </w:r>
    </w:p>
    <w:p w14:paraId="02A6FD40" w14:textId="77777777" w:rsidR="00CE72CE" w:rsidRPr="00BC5481" w:rsidRDefault="00CE72CE" w:rsidP="008564C7">
      <w:pPr>
        <w:pStyle w:val="Akapitzlist"/>
        <w:numPr>
          <w:ilvl w:val="1"/>
          <w:numId w:val="3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5B4E2B08" w14:textId="77777777" w:rsidR="00CE72CE" w:rsidRPr="00BC5481" w:rsidRDefault="00CE72CE" w:rsidP="008564C7">
      <w:pPr>
        <w:pStyle w:val="Akapitzlist"/>
        <w:numPr>
          <w:ilvl w:val="1"/>
          <w:numId w:val="34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0D5C73F" w14:textId="77777777" w:rsidR="00CE72CE" w:rsidRPr="00BC5481" w:rsidRDefault="00CE72CE" w:rsidP="008564C7">
      <w:pPr>
        <w:numPr>
          <w:ilvl w:val="0"/>
          <w:numId w:val="33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Negocjacje budżetu powinny prowadzić do ustalenia wydatków na poziomie racjonalnym i efektywnym, w szczególności do zapewnienia zgodności ze stawkami rynkowymi nie tylko pojedynczych wydatków, ale również </w:t>
      </w:r>
      <w:r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0449979A" w14:textId="77777777" w:rsidR="00CE72CE" w:rsidRDefault="00CE72CE" w:rsidP="008564C7">
      <w:pPr>
        <w:numPr>
          <w:ilvl w:val="0"/>
          <w:numId w:val="33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modułu Korespondencja </w:t>
      </w:r>
      <w:r w:rsidRPr="00390E51">
        <w:rPr>
          <w:rFonts w:ascii="Arial" w:hAnsi="Arial" w:cs="Arial"/>
          <w:bCs/>
          <w:spacing w:val="-2"/>
          <w:sz w:val="24"/>
          <w:szCs w:val="24"/>
        </w:rPr>
        <w:t>SOWA EFS.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BDA306C" w14:textId="143D4720" w:rsidR="009D1D24" w:rsidRPr="00066CD7" w:rsidRDefault="009D1D24" w:rsidP="008564C7">
      <w:pPr>
        <w:numPr>
          <w:ilvl w:val="0"/>
          <w:numId w:val="33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0C0903">
        <w:rPr>
          <w:rFonts w:ascii="Arial" w:hAnsi="Arial" w:cs="Arial"/>
          <w:sz w:val="24"/>
          <w:szCs w:val="24"/>
        </w:rPr>
        <w:t xml:space="preserve">Negocjacje prowadzone </w:t>
      </w:r>
      <w:r w:rsidR="005E7525" w:rsidRPr="000C0903">
        <w:rPr>
          <w:rFonts w:ascii="Arial" w:hAnsi="Arial" w:cs="Arial"/>
          <w:sz w:val="24"/>
          <w:szCs w:val="24"/>
        </w:rPr>
        <w:t xml:space="preserve">są </w:t>
      </w:r>
      <w:r w:rsidRPr="000C0903">
        <w:rPr>
          <w:rFonts w:ascii="Arial" w:hAnsi="Arial" w:cs="Arial"/>
          <w:sz w:val="24"/>
          <w:szCs w:val="24"/>
        </w:rPr>
        <w:t>ze wszystkimi wnioskodawcami, których projekty zostały skierowane do etapu negocjacji</w:t>
      </w:r>
      <w:r w:rsidRPr="00066CD7">
        <w:rPr>
          <w:rFonts w:ascii="Arial" w:hAnsi="Arial" w:cs="Arial"/>
          <w:sz w:val="24"/>
          <w:szCs w:val="24"/>
        </w:rPr>
        <w:t>.</w:t>
      </w:r>
    </w:p>
    <w:p w14:paraId="1649AF03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powinien podjąć negocjacje w terminie wyznaczonym przez ION. Podjęcie negocjacji oznacza przesłanie w module </w:t>
      </w:r>
      <w:r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swojego stanowiska negocjacyjnego akceptującego zmiany zaproponowane przez KOP lub zawierającego wyjaśnienia do określonych informacji we wniosku. </w:t>
      </w:r>
    </w:p>
    <w:p w14:paraId="23CBC52E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zobowiązany jest na etapie negocjacji do odniesienia się do wszystkich uwag wskazanych w treści stanowiska negocjacyjnego KOP. ION po zapoznaniu się z uzasadnieniem ze strony wnioskodawcy, w odpowiedzi wskazuje jakie kwestie zostały zaakceptowane, a które nie uzyskały akceptacji.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W przypadku rozbieżności stanowisk wnioskodawcy oraz ION stanowisko ION 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5B584D4D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 wskazanych jako element procesu negocjacji) KOP wyraża opinię na temat możliwości korekty wniosku o dofinansowanie w tym zakresie.</w:t>
      </w:r>
    </w:p>
    <w:p w14:paraId="659A69C6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Zakończenie negocjacji to ustalenie, a następnie zatwierdzenie przez ION ostatecznej wersji wniosku w postaci elektronicznej w aplikacji SOWA EFS. </w:t>
      </w:r>
    </w:p>
    <w:p w14:paraId="6FD8B2DC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zakończeniu negocjacji członek KOP prowadzący negocjacje ocenia, czy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 spełnia ogólne kryterium podsumowujące: „negocjacje zakończyły się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7528B45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(KOKP).</w:t>
      </w:r>
    </w:p>
    <w:p w14:paraId="64B5BEE4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2B690F17" w14:textId="77777777" w:rsidR="00CE72CE" w:rsidRPr="00BC5481" w:rsidRDefault="00CE72CE" w:rsidP="008564C7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7874AC29" w14:textId="77777777" w:rsidR="00CE72CE" w:rsidRPr="00BC5481" w:rsidRDefault="00CE72CE" w:rsidP="008564C7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KOP nie uzyska od wnioskodawcy informacji dotyczących określonych treści we wniosku, wskazanych w stanowisku negocjacyjnym,</w:t>
      </w:r>
    </w:p>
    <w:p w14:paraId="2EFD93B0" w14:textId="77777777" w:rsidR="00CE72CE" w:rsidRPr="00BC5481" w:rsidRDefault="00CE72CE" w:rsidP="008564C7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wynikających z procesu negocjacji</w:t>
      </w:r>
    </w:p>
    <w:p w14:paraId="511784E7" w14:textId="1C690EE5" w:rsidR="00CE72CE" w:rsidRPr="00BC5481" w:rsidRDefault="00CE72CE" w:rsidP="00CE72CE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</w:t>
      </w:r>
      <w:r w:rsidR="00152E63">
        <w:rPr>
          <w:rFonts w:ascii="Arial" w:hAnsi="Arial" w:cs="Arial"/>
          <w:spacing w:val="-2"/>
          <w:sz w:val="24"/>
          <w:szCs w:val="24"/>
        </w:rPr>
        <w:t>za</w:t>
      </w:r>
      <w:r w:rsidRPr="00BC5481">
        <w:rPr>
          <w:rFonts w:ascii="Arial" w:hAnsi="Arial" w:cs="Arial"/>
          <w:spacing w:val="-2"/>
          <w:sz w:val="24"/>
          <w:szCs w:val="24"/>
        </w:rPr>
        <w:t>kończą się wynikiem negatywnym, co oznacza niespełnienie przez projekt kryterium podsumowującego i nierekomendowanie projektu do dofinansowania.</w:t>
      </w:r>
    </w:p>
    <w:p w14:paraId="0E527414" w14:textId="77777777" w:rsidR="00CE72CE" w:rsidRPr="00BC5481" w:rsidRDefault="00CE72CE" w:rsidP="008564C7">
      <w:pPr>
        <w:pStyle w:val="Akapitzlist"/>
        <w:numPr>
          <w:ilvl w:val="0"/>
          <w:numId w:val="33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Niepodjęcie przez wnioskodawcę negocjacji lub brak możliwości zakończenia procesu negocjacji z winy wnioskodawcy, oznacza niespełnienie przez projekt kryterium podsumowującego i nierekomendowanie projektu do dofinansowania. </w:t>
      </w:r>
    </w:p>
    <w:p w14:paraId="0896D019" w14:textId="77777777" w:rsidR="0058797C" w:rsidRDefault="0058797C">
      <w:pPr>
        <w:spacing w:after="160" w:line="278" w:lineRule="auto"/>
        <w:rPr>
          <w:rFonts w:ascii="Arial" w:hAnsi="Arial" w:cs="Arial"/>
          <w:b/>
          <w:bCs/>
          <w:color w:val="2E74B5" w:themeColor="accent5" w:themeShade="BF"/>
          <w:sz w:val="28"/>
          <w:szCs w:val="28"/>
          <w:lang w:eastAsia="pl-PL"/>
        </w:rPr>
      </w:pPr>
      <w:bookmarkStart w:id="42" w:name="_Toc217302993"/>
      <w:r>
        <w:br w:type="page"/>
      </w:r>
    </w:p>
    <w:p w14:paraId="0C3BD4CC" w14:textId="4ED97CD5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r w:rsidRPr="00BC5481">
        <w:lastRenderedPageBreak/>
        <w:t>Wyniki oceny</w:t>
      </w:r>
      <w:bookmarkEnd w:id="42"/>
    </w:p>
    <w:p w14:paraId="6E5F4C0E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Po zakończeniu etapu negocjacji KOP przygotowuje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Listę projektów wybranych do dofinansowania oraz projektów, które otrzymały ocenę negatywną</w:t>
      </w:r>
      <w:r w:rsidRPr="000B2C9E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Fonts w:ascii="Arial" w:hAnsi="Arial" w:cs="Arial"/>
          <w:spacing w:val="-2"/>
          <w:sz w:val="24"/>
          <w:szCs w:val="24"/>
        </w:rPr>
        <w:t>uszeregowanych w kolejności malejącej liczby uzyskanych punktów. O kolejności wniosków na ww. liście, decyduje liczba punktów przyznana danemu wnioskowi z uwzględnieniem kryteriów rozstrzygających.</w:t>
      </w:r>
    </w:p>
    <w:p w14:paraId="58F5ACE5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W przypadku niespełnienia przez projekt któregokolwiek z kryteriów merytorycznych dostępu lub specyficznych kryteriów merytorycznych, projekt umieszczany jest na ww. liście z liczbą punktów równą 0 (zero).</w:t>
      </w:r>
    </w:p>
    <w:p w14:paraId="63F6B81D" w14:textId="168530A0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3C197D" w:rsidRPr="00A83EAD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="003C197D"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 xml:space="preserve">ION </w:t>
      </w:r>
      <w:r w:rsidRPr="000B2C9E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.</w:t>
      </w:r>
    </w:p>
    <w:p w14:paraId="0B021218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ION zamieszcza na stronie internetowej </w:t>
      </w:r>
      <w:hyperlink r:id="rId30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Pr="000B2C9E">
        <w:rPr>
          <w:rFonts w:ascii="Arial" w:hAnsi="Arial" w:cs="Arial"/>
          <w:spacing w:val="-2"/>
          <w:sz w:val="24"/>
          <w:szCs w:val="24"/>
        </w:rPr>
        <w:t xml:space="preserve"> oraz na portalu, informację o projektach, które:</w:t>
      </w:r>
    </w:p>
    <w:p w14:paraId="697CE939" w14:textId="77777777" w:rsidR="00CE72CE" w:rsidRPr="000B2C9E" w:rsidRDefault="00CE72CE" w:rsidP="008564C7">
      <w:pPr>
        <w:numPr>
          <w:ilvl w:val="0"/>
          <w:numId w:val="17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780C2CFC" w14:textId="77777777" w:rsidR="00CE72CE" w:rsidRPr="000B2C9E" w:rsidRDefault="00CE72CE" w:rsidP="008564C7">
      <w:pPr>
        <w:numPr>
          <w:ilvl w:val="0"/>
          <w:numId w:val="17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0B2C9E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 nie zostały wybrane do dofinansowania.</w:t>
      </w:r>
    </w:p>
    <w:p w14:paraId="0626B45D" w14:textId="70148544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wyboru projektów do dofinansowania </w:t>
      </w:r>
      <w:r w:rsidRPr="00096DC6">
        <w:rPr>
          <w:rFonts w:ascii="Arial" w:hAnsi="Arial" w:cs="Arial"/>
          <w:spacing w:val="-2"/>
          <w:sz w:val="24"/>
          <w:szCs w:val="24"/>
        </w:rPr>
        <w:t xml:space="preserve">spowodowanego </w:t>
      </w:r>
      <w:r w:rsidR="003C197D" w:rsidRPr="00096DC6">
        <w:rPr>
          <w:rFonts w:ascii="Arial" w:hAnsi="Arial" w:cs="Arial"/>
          <w:spacing w:val="-2"/>
          <w:sz w:val="24"/>
          <w:szCs w:val="24"/>
        </w:rPr>
        <w:t xml:space="preserve">powstaniem dostępności lub </w:t>
      </w:r>
      <w:r w:rsidRPr="00096DC6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 ramach procedury odwoławczej, ION dokonuje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aktualizacji L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i jej kolejną wersję publikuje na stronie internetowej </w:t>
      </w:r>
      <w:hyperlink r:id="rId32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3" w:history="1">
        <w:r w:rsidRPr="000B2C9E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0B2C9E">
        <w:rPr>
          <w:rFonts w:ascii="Arial" w:hAnsi="Arial" w:cs="Arial"/>
          <w:spacing w:val="-2"/>
          <w:sz w:val="24"/>
          <w:szCs w:val="24"/>
        </w:rPr>
        <w:t xml:space="preserve"> i portalu.</w:t>
      </w:r>
    </w:p>
    <w:p w14:paraId="15E20E28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ION niezwłocznie przekazuje wnioskodawcy pisemną informację o wynikach oceny jego projektu wskazującą, że:</w:t>
      </w:r>
    </w:p>
    <w:p w14:paraId="1C45DB1E" w14:textId="77777777" w:rsidR="00CE72CE" w:rsidRPr="000B2C9E" w:rsidRDefault="00CE72CE" w:rsidP="008564C7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 otrzymał ocenę pozytywną, tj. spełnił wszystkie kryteria wyboru, uzyskał wymaganą liczbę punktów i w rezultacie został wybrany do dofinasowania lub</w:t>
      </w:r>
    </w:p>
    <w:p w14:paraId="3EF3C56C" w14:textId="77777777" w:rsidR="00CE72CE" w:rsidRPr="00BC5481" w:rsidRDefault="00CE72CE" w:rsidP="008564C7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projekt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otrzymał ocenę negatywną, tj. nie spełnił ogólnego kryterium podsumowującego, na skutek czego nie mógł być wybrany do dofinansowania lub</w:t>
      </w:r>
    </w:p>
    <w:p w14:paraId="28E98A91" w14:textId="77777777" w:rsidR="00CE72CE" w:rsidRPr="00BC5481" w:rsidRDefault="00CE72CE" w:rsidP="008564C7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projekt otrzymał ocenę negatywną, tj. spełnił kryteria wyboru projektów, jednak nie może być wybrany do dofinansowania z uwagi na wyczerpanie kwoty przeznaczonej na dofinansowanie projektów w naborze.</w:t>
      </w:r>
    </w:p>
    <w:p w14:paraId="22759759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negatywnym wyniku oceny projektu zawiera pouczenie o możliwości wniesienia protestu oraz kopie KOM i KOKP w postaci załącznika, </w:t>
      </w:r>
      <w:r w:rsidRPr="000B2C9E">
        <w:rPr>
          <w:rFonts w:ascii="Arial" w:hAnsi="Arial" w:cs="Arial"/>
          <w:spacing w:val="-2"/>
          <w:sz w:val="24"/>
          <w:szCs w:val="24"/>
        </w:rPr>
        <w:t>z zastrzeżeniem, że ION przekazując wnioskodawcy tę informację, zachowuje zasadę anonimowości osób dokonujących oceny.</w:t>
      </w:r>
    </w:p>
    <w:p w14:paraId="143BED6D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alternatywny do formy pisma sposób (np. dodatkowo w formie elektronicznej), powinien taką informację zgłosić do ION. </w:t>
      </w:r>
    </w:p>
    <w:p w14:paraId="5A103BFF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W przypadku pozytywnej oceny i wybrania projektu do dofinansowania pisemna informacja zawiera wynik oceny oraz spis wymaganych od wnioskodawcy dokumentów niezbędnych do podpisania umowy o dofinansowanie projektu. </w:t>
      </w:r>
    </w:p>
    <w:p w14:paraId="3BDA97D4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>Otrzymanie przez wnioskodawcę informacji o wybraniu do dofinansowania nie jest równoznaczne z podpisaniem umowy o dofinansowanie projektu.</w:t>
      </w:r>
    </w:p>
    <w:p w14:paraId="4BFF72F6" w14:textId="77777777" w:rsidR="00CE72CE" w:rsidRPr="000B2C9E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Jeżeli rozdysponowano już w części dostępną alokację, a pozostała część nie pozwala na dofinansowanie w pełnej wysokości kolejnego wniosku o dofinansowanie projektów z </w:t>
      </w:r>
      <w:r w:rsidRPr="000B2C9E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Pr="000B2C9E">
        <w:rPr>
          <w:rFonts w:ascii="Arial" w:hAnsi="Arial" w:cs="Arial"/>
          <w:spacing w:val="-2"/>
          <w:sz w:val="24"/>
          <w:szCs w:val="24"/>
        </w:rPr>
        <w:t>, możliwe jest obniżenie poziomu dofinansowania projektów. W tej sytuacji, ze względu na zasadę równego traktowania wnioskodawców, wybór musi objąć wszystkie projekty, które otrzymały taką samą liczbę punktów, z zastosowaniem kryteriów rozstrzygających</w:t>
      </w:r>
      <w:r w:rsidRPr="000B2C9E">
        <w:rPr>
          <w:rFonts w:ascii="Arial" w:hAnsi="Arial" w:cs="Arial"/>
          <w:i/>
          <w:spacing w:val="-2"/>
          <w:sz w:val="24"/>
          <w:szCs w:val="24"/>
        </w:rPr>
        <w:t>.</w:t>
      </w:r>
      <w:r w:rsidRPr="000B2C9E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1EA2421" w14:textId="309D531D" w:rsidR="00CE72CE" w:rsidRPr="001322FA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1322FA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 wnioskowanej kwocie, po uprzednim wyrażeniu zgody, może uzyskać dofinansowanie w wysokości mniejszej,</w:t>
      </w:r>
      <w:r w:rsidRPr="001322FA">
        <w:rPr>
          <w:rFonts w:ascii="Arial" w:hAnsi="Arial" w:cs="Arial"/>
          <w:spacing w:val="-2"/>
        </w:rPr>
        <w:t xml:space="preserve"> 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o ile spełnione zostaną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wszystkie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 kryteria </w:t>
      </w:r>
      <w:r w:rsidR="001322FA" w:rsidRPr="001322FA">
        <w:rPr>
          <w:rFonts w:ascii="Arial" w:hAnsi="Arial" w:cs="Arial"/>
          <w:spacing w:val="-2"/>
          <w:sz w:val="24"/>
          <w:szCs w:val="24"/>
        </w:rPr>
        <w:t>wyboru projektów</w:t>
      </w:r>
      <w:r w:rsidRPr="001322FA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E78DAE2" w14:textId="77777777" w:rsidR="00CE72CE" w:rsidRPr="00BC5481" w:rsidRDefault="00CE72CE" w:rsidP="008564C7">
      <w:pPr>
        <w:pStyle w:val="Akapitzlist"/>
        <w:numPr>
          <w:ilvl w:val="0"/>
          <w:numId w:val="3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B2C9E">
        <w:rPr>
          <w:rFonts w:ascii="Arial" w:hAnsi="Arial" w:cs="Arial"/>
          <w:spacing w:val="-2"/>
          <w:sz w:val="24"/>
          <w:szCs w:val="24"/>
        </w:rPr>
        <w:t xml:space="preserve">Zgodnie z art. 57 ust. 5 ustawy wdrożeniowej, po zakończeniu postępowania w zakresie wyboru wniosków, ION może wybrać do dofinansowania wnioski, </w:t>
      </w:r>
      <w:r w:rsidRPr="000B2C9E">
        <w:rPr>
          <w:rFonts w:ascii="Arial" w:hAnsi="Arial" w:cs="Arial"/>
          <w:spacing w:val="-2"/>
          <w:sz w:val="24"/>
          <w:szCs w:val="24"/>
        </w:rPr>
        <w:lastRenderedPageBreak/>
        <w:t>które zostały negatywnie ocenione z uwagi na wyczerpanie kwoty przeznaczonej na dofinansowanie wniosków w tym postępowaniu, pod warunkiem dostępności kwoty przeznaczonej na dofinansowanie wniosków w ramach Działania</w:t>
      </w:r>
      <w:r w:rsidRPr="00BC5481">
        <w:rPr>
          <w:rFonts w:ascii="Arial" w:hAnsi="Arial" w:cs="Arial"/>
          <w:spacing w:val="-2"/>
          <w:sz w:val="24"/>
          <w:szCs w:val="24"/>
        </w:rPr>
        <w:t>. Wybór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6D71E238" w14:textId="773B8374" w:rsidR="00CE72CE" w:rsidRPr="009F2CB4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  <w:rPr>
          <w:sz w:val="24"/>
          <w:szCs w:val="24"/>
        </w:rPr>
      </w:pPr>
      <w:bookmarkStart w:id="43" w:name="_Toc217302994"/>
      <w:bookmarkStart w:id="44" w:name="_Hlk192597551"/>
      <w:bookmarkStart w:id="45" w:name="_Hlk116983287"/>
      <w:r w:rsidRPr="00BC5481">
        <w:t>Środki odwoławcze w przypadku negatywnej oceny</w:t>
      </w:r>
      <w:bookmarkEnd w:id="43"/>
    </w:p>
    <w:p w14:paraId="4500818B" w14:textId="77777777" w:rsidR="00CE72CE" w:rsidRPr="006F32E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6F32E4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3F768D6F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421CB04B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61A40656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6C93E9F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0183383F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22116D1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 czerwca 1960 r. - Kodeks postępowania administracyjnego, z wyjątkiem art. 24 oraz przepisów dotyczących doręczeń i sposobu obliczania terminów, które stosuje się odpowiednio.</w:t>
      </w:r>
    </w:p>
    <w:p w14:paraId="119267D8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38A684B3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 xml:space="preserve">Protest należy wnieść w terminie 14 dni od dnia otrzymania informacji o negatywnej ocenie projektu na wzorze zamieszczonym na stronie </w:t>
      </w:r>
      <w:hyperlink r:id="rId34" w:history="1">
        <w:r w:rsidRPr="009F2CB4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Pr="009F2CB4">
        <w:rPr>
          <w:rFonts w:ascii="Arial" w:hAnsi="Arial" w:cs="Arial"/>
          <w:spacing w:val="-2"/>
          <w:sz w:val="24"/>
          <w:szCs w:val="24"/>
        </w:rPr>
        <w:t>.</w:t>
      </w:r>
    </w:p>
    <w:p w14:paraId="673DA433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42D12087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6BD9B960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lastRenderedPageBreak/>
        <w:t>oznaczenie wnioskodawcy;</w:t>
      </w:r>
    </w:p>
    <w:p w14:paraId="1AA98C04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756D3DE8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kryteriów wyboru projektu, z których oceną wnioskodawca się nie zgadza, wraz z uzasadnieniem;</w:t>
      </w:r>
    </w:p>
    <w:p w14:paraId="7AECDFEB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wskazanie wszystkich zarzutów o charakterze proceduralnym w zakresie przeprowadzonej oceny, jeżeli zdaniem wnioskodawcy naruszenia takie miały miejsce, wraz z uzasadnieniem;</w:t>
      </w:r>
    </w:p>
    <w:p w14:paraId="6C573746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podpis wnioskodawcy lub osoby upoważnionej do jego reprezentowania, z załączeniem oryginału lub kopii dokumentu poświadczającego umocowanie takiej osoby do reprezentowania wnioskodawcy.</w:t>
      </w:r>
    </w:p>
    <w:p w14:paraId="68F070D6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6B25BE0C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 spełniają wymogów formalnych);</w:t>
      </w:r>
    </w:p>
    <w:p w14:paraId="21F8B950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DE9FBB7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9F2CB4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600D4363" w14:textId="47061F41" w:rsidR="00CE72CE" w:rsidRPr="002C3317" w:rsidRDefault="002C3317" w:rsidP="003E2D59">
      <w:pPr>
        <w:pStyle w:val="Akapitzlist"/>
        <w:numPr>
          <w:ilvl w:val="0"/>
          <w:numId w:val="87"/>
        </w:numPr>
        <w:shd w:val="clear" w:color="auto" w:fill="FFFFFF" w:themeFill="background1"/>
        <w:spacing w:before="40" w:after="240" w:line="360" w:lineRule="auto"/>
        <w:ind w:left="850" w:hanging="357"/>
        <w:contextualSpacing w:val="0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e</w:t>
      </w:r>
      <w:r w:rsidR="00CE72CE" w:rsidRPr="002C3317">
        <w:rPr>
          <w:rFonts w:ascii="Arial" w:eastAsia="Calibri" w:hAnsi="Arial" w:cs="Arial"/>
          <w:spacing w:val="-2"/>
          <w:sz w:val="24"/>
          <w:szCs w:val="24"/>
        </w:rPr>
        <w:t>lektronicznie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CE72CE" w:rsidRPr="002C3317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="00CE72CE" w:rsidRPr="002C3317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br/>
      </w:r>
      <w:r w:rsidR="00CE72CE" w:rsidRPr="002C3317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="00CE72CE" w:rsidRPr="002C3317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77DF1F74" w14:textId="77777777" w:rsidR="00CE72CE" w:rsidRPr="00BC5481" w:rsidRDefault="00CE72CE" w:rsidP="002C3317">
      <w:pPr>
        <w:pStyle w:val="Akapitzlist"/>
        <w:numPr>
          <w:ilvl w:val="0"/>
          <w:numId w:val="87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45C693F6" w14:textId="77777777" w:rsidR="00CE72CE" w:rsidRPr="00390E51" w:rsidRDefault="00CE72CE" w:rsidP="008564C7">
      <w:pPr>
        <w:numPr>
          <w:ilvl w:val="1"/>
          <w:numId w:val="44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eastAsia="Calibri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>za pośrednictwem operatora pocztowego na adres: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i/>
          <w:spacing w:val="-2"/>
          <w:sz w:val="28"/>
          <w:szCs w:val="28"/>
        </w:rPr>
        <w:t>,</w:t>
      </w:r>
    </w:p>
    <w:p w14:paraId="6E2710B7" w14:textId="77777777" w:rsidR="00CE72CE" w:rsidRPr="007B547F" w:rsidRDefault="00CE72CE" w:rsidP="008564C7">
      <w:pPr>
        <w:numPr>
          <w:ilvl w:val="1"/>
          <w:numId w:val="44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wnioskodawcę lub przez posłańca </w:t>
      </w:r>
      <w:r w:rsidRPr="00390E51">
        <w:rPr>
          <w:rStyle w:val="markedcontent"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spacing w:val="-2"/>
          <w:sz w:val="24"/>
          <w:szCs w:val="24"/>
        </w:rPr>
        <w:t>:</w:t>
      </w:r>
      <w:r>
        <w:rPr>
          <w:rStyle w:val="markedcontent"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i/>
          <w:spacing w:val="-2"/>
          <w:sz w:val="24"/>
          <w:szCs w:val="24"/>
        </w:rPr>
        <w:t>.</w:t>
      </w:r>
    </w:p>
    <w:p w14:paraId="6BB9403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9F2CB4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– prawo pocztowe jest Poczta Polska.</w:t>
      </w:r>
    </w:p>
    <w:p w14:paraId="3CE0F151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Zachowanie terminu na wniesienie protestu ustala się na podstawie: </w:t>
      </w:r>
    </w:p>
    <w:p w14:paraId="1C9695F5" w14:textId="0614929A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Pr="009F2CB4">
        <w:rPr>
          <w:rFonts w:ascii="Arial" w:hAnsi="Arial" w:cs="Arial"/>
          <w:spacing w:val="-2"/>
          <w:sz w:val="24"/>
          <w:szCs w:val="24"/>
        </w:rPr>
        <w:t>doręczenia protestu na adres do doręczeń elektronicznych,</w:t>
      </w:r>
    </w:p>
    <w:p w14:paraId="58039033" w14:textId="77777777" w:rsidR="00CE72CE" w:rsidRPr="009F2CB4" w:rsidRDefault="00CE72CE" w:rsidP="008564C7">
      <w:pPr>
        <w:pStyle w:val="Akapitzlist"/>
        <w:numPr>
          <w:ilvl w:val="1"/>
          <w:numId w:val="38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daty stempla pocztowego na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1BBFD736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 których mowa w pkt 8 niniejszego paragrafu, wnioskodawca wezwany jest do jego uzupełnienia, w terminie 7 dni licząc od dnia otrzymania wezwania, pod rygorem pozostawienia protestu bez rozpatrzenia. Uzupełnienie protestu może nastąpić wyłącznie w odniesieniu do wymogów formalnych, o których mowa w pkt 8, ppkt a-c oraz f.</w:t>
      </w:r>
    </w:p>
    <w:p w14:paraId="29AFEE90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stwierdzenia oczywistej omyłki we wniesionym proteście IP może poprawić ją z urzędu, informując o tym wnioskodawcę.</w:t>
      </w:r>
    </w:p>
    <w:p w14:paraId="5D5FC9C6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rozpatruje protest w terminie nie dłuższym niż 21 dni od dnia jego otrzymania. W</w:t>
      </w:r>
      <w:r w:rsidRPr="009F2CB4">
        <w:rPr>
          <w:rFonts w:ascii="Arial" w:hAnsi="Arial" w:cs="Arial"/>
          <w:spacing w:val="-2"/>
          <w:sz w:val="24"/>
          <w:szCs w:val="24"/>
        </w:rPr>
        <w:t> 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czym IP informuje wnioskodawcę. We wskazanym przypadku termin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o którym mowa w pkt. 13, wstrzymuje bieg ww. terminów.</w:t>
      </w:r>
    </w:p>
    <w:p w14:paraId="3ECCAB5D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wyniku rozpatrzenia jego protestu. Informacja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ta zawiera w szczególności:</w:t>
      </w:r>
    </w:p>
    <w:p w14:paraId="4CD6E0FB" w14:textId="77777777" w:rsidR="00CE72CE" w:rsidRPr="009F2CB4" w:rsidRDefault="00CE72CE" w:rsidP="008564C7">
      <w:pPr>
        <w:pStyle w:val="Akapitzlist"/>
        <w:numPr>
          <w:ilvl w:val="0"/>
          <w:numId w:val="45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6A81E0FC" w14:textId="77777777" w:rsidR="00CE72CE" w:rsidRPr="009F2CB4" w:rsidRDefault="00CE72CE" w:rsidP="008564C7">
      <w:pPr>
        <w:pStyle w:val="Akapitzlist"/>
        <w:numPr>
          <w:ilvl w:val="0"/>
          <w:numId w:val="45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nieuwzględnienia protestu - pouczenie o możliwości i terminie wniesienia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skargi do sądu administracyjnego, zgodnie z 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13A121A7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Uwzględnienie protestu przez IP, polega na zakwalifikowaniu projektu do kolejnego etapu oceny albo wybraniu projektu do dofinansowania i aktualizacji informacji, o której mowa w art. 57 ust. 1 ustawy wdrożeniowej.</w:t>
      </w:r>
    </w:p>
    <w:p w14:paraId="2794D20B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134AC9B0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72828AC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przez podmiot wykluczony z możliwości otrzymania dofinansowania na podstawie przepisów odrębnych;</w:t>
      </w:r>
    </w:p>
    <w:p w14:paraId="1AAD301E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bez spełnienia wymogów określonych w pkt 8 d);</w:t>
      </w:r>
    </w:p>
    <w:p w14:paraId="011BBC61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01681AC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 ramach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1A797250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przypadku gdy wnioskodawca wycofa protest;</w:t>
      </w:r>
    </w:p>
    <w:p w14:paraId="40232956" w14:textId="77777777" w:rsidR="00CE72CE" w:rsidRPr="009F2CB4" w:rsidRDefault="00CE72CE" w:rsidP="008564C7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1FF5A844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Fonts w:ascii="Arial" w:hAnsi="Arial" w:cs="Arial"/>
          <w:spacing w:val="-2"/>
          <w:sz w:val="24"/>
          <w:szCs w:val="24"/>
        </w:rPr>
        <w:t>Wnioskodawca może wycofać protest do czasu zakończenia jego rozpatrywania przez IP. Wycofanie protestu następuje przez złożenie do IP oświadczenia o wycofaniu protestu i uniemożliwia jego ponowne wniesienie oraz wniesienie skargi do sądu administracyjnego.</w:t>
      </w:r>
    </w:p>
    <w:p w14:paraId="2E44F698" w14:textId="77777777" w:rsidR="00CE72CE" w:rsidRPr="009F2CB4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IP informuje wnioskodawcę o pozostawieniu protestu bez rozpatrzenia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Pr="009F2CB4">
        <w:rPr>
          <w:rFonts w:ascii="Arial" w:hAnsi="Arial" w:cs="Arial"/>
          <w:spacing w:val="-2"/>
          <w:sz w:val="24"/>
          <w:szCs w:val="24"/>
        </w:rPr>
        <w:t>sądu administracyjnego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, zgodnie z art. 73 ustawy</w:t>
      </w:r>
      <w:r w:rsidRPr="009F2CB4">
        <w:rPr>
          <w:rFonts w:ascii="Arial" w:hAnsi="Arial" w:cs="Arial"/>
          <w:spacing w:val="-2"/>
          <w:sz w:val="24"/>
          <w:szCs w:val="24"/>
        </w:rPr>
        <w:t xml:space="preserve"> </w:t>
      </w:r>
      <w:r w:rsidRPr="009F2CB4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26B50069" w14:textId="77777777" w:rsidR="00CE72CE" w:rsidRPr="00BC5481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Skarga, o której mowa w art. 73 ust. 1 ustawy wdrożeniowej jest wnoszona przez wnioskodawcę w terminie 14 dni od otrzymania informacji, o której mowa w art. 64 ust. 3, art. 69 ust. 1 pkt 2 albo ust. 4 pkt 2, art. 70 ust. 2 albo art. 77 ust. 2 pkt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08DD71CC" w14:textId="77777777" w:rsidR="00CE72CE" w:rsidRPr="00BC5481" w:rsidRDefault="00CE72CE" w:rsidP="008564C7">
      <w:pPr>
        <w:pStyle w:val="Akapitzlist"/>
        <w:numPr>
          <w:ilvl w:val="0"/>
          <w:numId w:val="38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 wnioskodawcami, których projekty zostały wybrane do dofinansowania.</w:t>
      </w:r>
      <w:bookmarkEnd w:id="44"/>
    </w:p>
    <w:p w14:paraId="326354AF" w14:textId="65B528AC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46" w:name="_Toc217302995"/>
      <w:r w:rsidRPr="00BC5481">
        <w:t>Podpisanie umowy o dofinansowanie projektu</w:t>
      </w:r>
      <w:bookmarkEnd w:id="46"/>
    </w:p>
    <w:bookmarkEnd w:id="45"/>
    <w:p w14:paraId="27B4928B" w14:textId="77777777" w:rsidR="00CE72CE" w:rsidRPr="00BC5481" w:rsidRDefault="00CE72CE" w:rsidP="008564C7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Podstawą zobowiązania wnioskodawcy do realizacji projektu FEŁ2027 jest umowa o dofinansowanie projektu, której załącznikiem jest wniosek o dofinansowanie projektu.</w:t>
      </w:r>
    </w:p>
    <w:p w14:paraId="2929ECEA" w14:textId="2472F96F" w:rsidR="00A72F74" w:rsidRPr="006F32E4" w:rsidRDefault="00CE72CE" w:rsidP="008564C7">
      <w:pPr>
        <w:pStyle w:val="Akapitzlist"/>
        <w:numPr>
          <w:ilvl w:val="0"/>
          <w:numId w:val="36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F32E4">
        <w:rPr>
          <w:rFonts w:ascii="Arial" w:hAnsi="Arial" w:cs="Arial"/>
          <w:spacing w:val="-2"/>
          <w:sz w:val="24"/>
          <w:szCs w:val="24"/>
        </w:rPr>
        <w:lastRenderedPageBreak/>
        <w:t xml:space="preserve">Wzór umowy o dofinansowanie projektu, stanowi </w:t>
      </w:r>
      <w:r w:rsidRPr="00F672C9">
        <w:rPr>
          <w:rFonts w:ascii="Arial" w:hAnsi="Arial" w:cs="Arial"/>
          <w:spacing w:val="-2"/>
          <w:sz w:val="24"/>
          <w:szCs w:val="24"/>
        </w:rPr>
        <w:t>Załącznik nr 3 do Regulaminu</w:t>
      </w:r>
      <w:r w:rsidRPr="006F32E4">
        <w:rPr>
          <w:rFonts w:ascii="Arial" w:hAnsi="Arial" w:cs="Arial"/>
          <w:spacing w:val="-2"/>
          <w:sz w:val="24"/>
          <w:szCs w:val="24"/>
        </w:rPr>
        <w:t>. Wzór umowy o dofinansowanie może być uzupełniany przez IP o zapisy niezbędne do prawidłowej realizacji projektu oraz ze względu na konieczność wprowadzania zmian wynikających z realizacji FEŁ2027 w trakcie trwania procedury naboru projektów</w:t>
      </w:r>
      <w:r w:rsidR="00F672C9">
        <w:rPr>
          <w:rFonts w:ascii="Arial" w:hAnsi="Arial" w:cs="Arial"/>
          <w:sz w:val="24"/>
          <w:szCs w:val="24"/>
        </w:rPr>
        <w:t>.</w:t>
      </w:r>
    </w:p>
    <w:p w14:paraId="609DCE35" w14:textId="77777777" w:rsidR="00CE72CE" w:rsidRPr="00BC5481" w:rsidRDefault="00CE72CE" w:rsidP="008564C7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 etapie podpisywania umowy o dofinansowanie projektu, IP będzie wymagać od ubiegającego się o dofinansowanie złożenia następujących dokumentów:</w:t>
      </w:r>
    </w:p>
    <w:p w14:paraId="20FCA37E" w14:textId="1A7FBEA0" w:rsidR="00CE72CE" w:rsidRDefault="00CE72CE" w:rsidP="00F672C9">
      <w:pPr>
        <w:widowControl w:val="0"/>
        <w:numPr>
          <w:ilvl w:val="0"/>
          <w:numId w:val="16"/>
        </w:numPr>
        <w:spacing w:before="120" w:after="0" w:line="360" w:lineRule="auto"/>
        <w:ind w:left="1134" w:hanging="708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>Podpisanego wniosku o dofinansowanie w wersji papierowej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(o sumie kontrolnej zatwierdzonej przez KOP).</w:t>
      </w:r>
    </w:p>
    <w:p w14:paraId="0082927F" w14:textId="4BB59CC9" w:rsidR="00C8244E" w:rsidRPr="00F17BDF" w:rsidRDefault="00C8244E" w:rsidP="00F672C9">
      <w:pPr>
        <w:pStyle w:val="Akapitzlist"/>
        <w:numPr>
          <w:ilvl w:val="0"/>
          <w:numId w:val="16"/>
        </w:numPr>
        <w:spacing w:before="120" w:after="120" w:line="360" w:lineRule="auto"/>
        <w:ind w:left="1134" w:hanging="708"/>
        <w:rPr>
          <w:rFonts w:ascii="Arial" w:hAnsi="Arial" w:cs="Arial"/>
          <w:bCs/>
          <w:sz w:val="28"/>
          <w:szCs w:val="28"/>
        </w:rPr>
      </w:pPr>
      <w:r w:rsidRPr="00F17BDF">
        <w:rPr>
          <w:rFonts w:ascii="Arial" w:hAnsi="Arial" w:cs="Arial"/>
          <w:b/>
          <w:sz w:val="28"/>
          <w:szCs w:val="28"/>
        </w:rPr>
        <w:t>Dokument</w:t>
      </w:r>
      <w:r w:rsidR="00F672C9" w:rsidRPr="00F17BDF">
        <w:rPr>
          <w:rFonts w:ascii="Arial" w:hAnsi="Arial" w:cs="Arial"/>
          <w:b/>
          <w:sz w:val="28"/>
          <w:szCs w:val="28"/>
        </w:rPr>
        <w:t>u</w:t>
      </w:r>
      <w:r w:rsidRPr="00F17BDF">
        <w:rPr>
          <w:rFonts w:ascii="Arial" w:hAnsi="Arial" w:cs="Arial"/>
          <w:b/>
          <w:sz w:val="28"/>
          <w:szCs w:val="28"/>
        </w:rPr>
        <w:t xml:space="preserve"> zatwierdzając</w:t>
      </w:r>
      <w:r w:rsidR="00F672C9" w:rsidRPr="00F17BDF">
        <w:rPr>
          <w:rFonts w:ascii="Arial" w:hAnsi="Arial" w:cs="Arial"/>
          <w:b/>
          <w:sz w:val="28"/>
          <w:szCs w:val="28"/>
        </w:rPr>
        <w:t>ego</w:t>
      </w:r>
      <w:r w:rsidRPr="00F17BDF">
        <w:rPr>
          <w:rFonts w:ascii="Arial" w:hAnsi="Arial" w:cs="Arial"/>
          <w:b/>
          <w:sz w:val="28"/>
          <w:szCs w:val="28"/>
        </w:rPr>
        <w:t xml:space="preserve"> projekt (dotyczy PUP); </w:t>
      </w:r>
    </w:p>
    <w:p w14:paraId="2C3AC8FC" w14:textId="77777777" w:rsidR="00C8244E" w:rsidRDefault="00C8244E" w:rsidP="00C8244E">
      <w:pPr>
        <w:pStyle w:val="Akapitzlist"/>
        <w:spacing w:after="120" w:line="360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Wnioskodawca ma dwie możliwości potwierdzania faktu zabezpieczenia środków na realizację projektu, tj. poprzez:</w:t>
      </w:r>
    </w:p>
    <w:p w14:paraId="5F248670" w14:textId="77777777" w:rsidR="00C8244E" w:rsidRDefault="00C8244E" w:rsidP="00C8244E">
      <w:pPr>
        <w:pStyle w:val="Akapitzlist"/>
        <w:spacing w:after="120" w:line="360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uchwałę zatwierdzającą projekt, albo</w:t>
      </w:r>
    </w:p>
    <w:p w14:paraId="2423FBC7" w14:textId="3917E6C6" w:rsidR="008564C7" w:rsidRDefault="00C8244E" w:rsidP="00C8244E">
      <w:pPr>
        <w:pStyle w:val="Akapitzlist"/>
        <w:spacing w:after="120" w:line="360" w:lineRule="auto"/>
        <w:ind w:left="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kontrasygnatę skarbnika na umowie o dofinansowanie</w:t>
      </w:r>
      <w:r w:rsidR="008564C7" w:rsidRPr="0082348A">
        <w:rPr>
          <w:rFonts w:ascii="Arial" w:hAnsi="Arial" w:cs="Arial"/>
          <w:bCs/>
          <w:sz w:val="24"/>
          <w:szCs w:val="24"/>
        </w:rPr>
        <w:t>.</w:t>
      </w:r>
    </w:p>
    <w:p w14:paraId="01D59BE7" w14:textId="38F895E6" w:rsidR="00C8244E" w:rsidRPr="00C8244E" w:rsidRDefault="00C8244E" w:rsidP="00F672C9">
      <w:pPr>
        <w:pStyle w:val="Akapitzlist"/>
        <w:spacing w:after="120" w:line="360" w:lineRule="auto"/>
        <w:ind w:left="1134" w:hanging="708"/>
        <w:rPr>
          <w:rFonts w:ascii="Arial" w:hAnsi="Arial" w:cs="Arial"/>
          <w:bCs/>
          <w:sz w:val="24"/>
          <w:szCs w:val="24"/>
        </w:rPr>
      </w:pPr>
      <w:r w:rsidRPr="00C8244E">
        <w:rPr>
          <w:rFonts w:ascii="Arial" w:hAnsi="Arial" w:cs="Arial"/>
          <w:bCs/>
          <w:sz w:val="24"/>
          <w:szCs w:val="24"/>
        </w:rPr>
        <w:t>c)</w:t>
      </w:r>
      <w:r w:rsidRPr="00C8244E">
        <w:rPr>
          <w:rFonts w:ascii="Arial" w:hAnsi="Arial" w:cs="Arial"/>
          <w:bCs/>
          <w:sz w:val="24"/>
          <w:szCs w:val="24"/>
        </w:rPr>
        <w:tab/>
      </w:r>
      <w:r w:rsidRPr="00F17BDF">
        <w:rPr>
          <w:rFonts w:ascii="Arial" w:hAnsi="Arial" w:cs="Arial"/>
          <w:b/>
          <w:bCs/>
          <w:sz w:val="28"/>
          <w:szCs w:val="28"/>
        </w:rPr>
        <w:t>Uchwał</w:t>
      </w:r>
      <w:r w:rsidR="00F672C9" w:rsidRPr="00F17BDF">
        <w:rPr>
          <w:rFonts w:ascii="Arial" w:hAnsi="Arial" w:cs="Arial"/>
          <w:b/>
          <w:bCs/>
          <w:sz w:val="28"/>
          <w:szCs w:val="28"/>
        </w:rPr>
        <w:t>y</w:t>
      </w:r>
      <w:r w:rsidRPr="00F17BDF">
        <w:rPr>
          <w:rFonts w:ascii="Arial" w:hAnsi="Arial" w:cs="Arial"/>
          <w:b/>
          <w:bCs/>
          <w:sz w:val="28"/>
          <w:szCs w:val="28"/>
        </w:rPr>
        <w:t xml:space="preserve"> udzielając</w:t>
      </w:r>
      <w:r w:rsidR="00F672C9" w:rsidRPr="00F17BDF">
        <w:rPr>
          <w:rFonts w:ascii="Arial" w:hAnsi="Arial" w:cs="Arial"/>
          <w:b/>
          <w:bCs/>
          <w:sz w:val="28"/>
          <w:szCs w:val="28"/>
        </w:rPr>
        <w:t>ej</w:t>
      </w:r>
      <w:r w:rsidRPr="00F17BDF">
        <w:rPr>
          <w:rFonts w:ascii="Arial" w:hAnsi="Arial" w:cs="Arial"/>
          <w:b/>
          <w:bCs/>
          <w:sz w:val="28"/>
          <w:szCs w:val="28"/>
        </w:rPr>
        <w:t xml:space="preserve"> pełnomocnictwa do reprezentowania powiatu </w:t>
      </w:r>
      <w:r w:rsidR="00F672C9" w:rsidRPr="00F17BDF">
        <w:rPr>
          <w:rFonts w:ascii="Arial" w:hAnsi="Arial" w:cs="Arial"/>
          <w:b/>
          <w:bCs/>
          <w:sz w:val="28"/>
          <w:szCs w:val="28"/>
        </w:rPr>
        <w:t>/ miasta</w:t>
      </w:r>
      <w:r w:rsidR="00F672C9">
        <w:rPr>
          <w:rFonts w:ascii="Arial" w:hAnsi="Arial" w:cs="Arial"/>
          <w:bCs/>
          <w:sz w:val="24"/>
          <w:szCs w:val="24"/>
        </w:rPr>
        <w:t xml:space="preserve"> </w:t>
      </w:r>
      <w:r w:rsidRPr="00C8244E">
        <w:rPr>
          <w:rFonts w:ascii="Arial" w:hAnsi="Arial" w:cs="Arial"/>
          <w:bCs/>
          <w:sz w:val="24"/>
          <w:szCs w:val="24"/>
        </w:rPr>
        <w:t xml:space="preserve">(jeśli umowa będzie podpisywana przez pełnomocnika). </w:t>
      </w:r>
    </w:p>
    <w:p w14:paraId="4817CC61" w14:textId="77777777" w:rsidR="009C737C" w:rsidRPr="00170028" w:rsidRDefault="00C8244E" w:rsidP="009C737C">
      <w:pPr>
        <w:pStyle w:val="Akapitzlist"/>
        <w:spacing w:after="120" w:line="360" w:lineRule="auto"/>
        <w:ind w:left="1134"/>
        <w:rPr>
          <w:rFonts w:ascii="Arial" w:hAnsi="Arial" w:cs="Arial"/>
          <w:sz w:val="24"/>
          <w:szCs w:val="24"/>
        </w:rPr>
      </w:pPr>
      <w:r w:rsidRPr="00170028">
        <w:rPr>
          <w:rFonts w:ascii="Arial" w:hAnsi="Arial" w:cs="Arial"/>
          <w:sz w:val="24"/>
          <w:szCs w:val="24"/>
        </w:rPr>
        <w:t xml:space="preserve">lub </w:t>
      </w:r>
    </w:p>
    <w:p w14:paraId="64F47474" w14:textId="77777777" w:rsidR="009C737C" w:rsidRDefault="00C8244E" w:rsidP="009C737C">
      <w:pPr>
        <w:pStyle w:val="Akapitzlist"/>
        <w:spacing w:after="120"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F17BDF">
        <w:rPr>
          <w:rFonts w:ascii="Arial" w:hAnsi="Arial" w:cs="Arial"/>
          <w:b/>
          <w:bCs/>
          <w:sz w:val="28"/>
          <w:szCs w:val="28"/>
        </w:rPr>
        <w:t>Pełnomocnictw</w:t>
      </w:r>
      <w:r w:rsidR="00F672C9" w:rsidRPr="00F17BDF">
        <w:rPr>
          <w:rFonts w:ascii="Arial" w:hAnsi="Arial" w:cs="Arial"/>
          <w:b/>
          <w:bCs/>
          <w:sz w:val="28"/>
          <w:szCs w:val="28"/>
        </w:rPr>
        <w:t>a</w:t>
      </w:r>
      <w:r w:rsidRPr="00F17BDF">
        <w:rPr>
          <w:rFonts w:ascii="Arial" w:hAnsi="Arial" w:cs="Arial"/>
          <w:b/>
          <w:bCs/>
          <w:sz w:val="28"/>
          <w:szCs w:val="28"/>
        </w:rPr>
        <w:t xml:space="preserve"> do reprezentowania OHP</w:t>
      </w:r>
      <w:r w:rsidRPr="009C737C">
        <w:rPr>
          <w:rFonts w:ascii="Arial" w:hAnsi="Arial" w:cs="Arial"/>
          <w:bCs/>
          <w:sz w:val="24"/>
          <w:szCs w:val="24"/>
        </w:rPr>
        <w:t xml:space="preserve"> (jeśli umowa będzie podpisywana przez pełnomocnika). </w:t>
      </w:r>
    </w:p>
    <w:p w14:paraId="3C8EC7C2" w14:textId="54087EC7" w:rsidR="00C8244E" w:rsidRPr="009C737C" w:rsidRDefault="00C8244E" w:rsidP="009C737C">
      <w:pPr>
        <w:pStyle w:val="Akapitzlist"/>
        <w:spacing w:after="120"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r w:rsidRPr="009C737C">
        <w:rPr>
          <w:rFonts w:ascii="Arial" w:hAnsi="Arial" w:cs="Arial"/>
          <w:bCs/>
          <w:sz w:val="24"/>
          <w:szCs w:val="24"/>
        </w:rPr>
        <w:t>Pełnomocnictwo powinno być ważne na dzień złożenia wniosku</w:t>
      </w:r>
    </w:p>
    <w:p w14:paraId="30D2FD38" w14:textId="41B9A0AF" w:rsidR="00CE72CE" w:rsidRDefault="00E24A5F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17BDF">
        <w:rPr>
          <w:rFonts w:ascii="Arial" w:hAnsi="Arial" w:cs="Arial"/>
          <w:b/>
          <w:sz w:val="28"/>
          <w:szCs w:val="28"/>
        </w:rPr>
        <w:t>Szczegółowego harmonogramu płatności</w:t>
      </w:r>
      <w:r w:rsidRPr="00E5622C">
        <w:rPr>
          <w:rFonts w:ascii="Arial" w:hAnsi="Arial" w:cs="Arial"/>
          <w:b/>
          <w:sz w:val="24"/>
          <w:szCs w:val="24"/>
        </w:rPr>
        <w:t xml:space="preserve"> </w:t>
      </w:r>
      <w:r w:rsidRPr="00045708">
        <w:rPr>
          <w:rFonts w:ascii="Arial" w:hAnsi="Arial" w:cs="Arial"/>
          <w:sz w:val="24"/>
          <w:szCs w:val="24"/>
        </w:rPr>
        <w:t xml:space="preserve">przesłanego </w:t>
      </w:r>
      <w:r>
        <w:rPr>
          <w:rFonts w:ascii="Arial" w:hAnsi="Arial" w:cs="Arial"/>
          <w:sz w:val="24"/>
          <w:szCs w:val="24"/>
        </w:rPr>
        <w:t>w aplikacji</w:t>
      </w:r>
      <w:r w:rsidRPr="00045708">
        <w:rPr>
          <w:rFonts w:ascii="Arial" w:hAnsi="Arial" w:cs="Arial"/>
          <w:sz w:val="24"/>
          <w:szCs w:val="24"/>
        </w:rPr>
        <w:t xml:space="preserve"> SOWA</w:t>
      </w:r>
      <w:r w:rsidR="00CE72CE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425EDE0" w14:textId="29D5E357" w:rsidR="001C1134" w:rsidRDefault="001C1134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>Oświadczeni</w:t>
      </w:r>
      <w:r w:rsidR="009C737C"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>a</w:t>
      </w:r>
      <w:r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 xml:space="preserve"> dotyczące</w:t>
      </w:r>
      <w:r w:rsidR="009C737C"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>go</w:t>
      </w:r>
      <w:r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 xml:space="preserve"> klasyfikacji budżetowej</w:t>
      </w:r>
      <w:r w:rsidRPr="001C113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przekazywanej transzy dofinansowania</w:t>
      </w: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="005A2F9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(</w:t>
      </w: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dotyczy </w:t>
      </w:r>
      <w:r w:rsidR="009C737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PUP</w:t>
      </w:r>
      <w:r w:rsidR="005A2F9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)</w:t>
      </w: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767F6719" w14:textId="29641BF3" w:rsidR="00CE72CE" w:rsidRPr="00B6733E" w:rsidRDefault="00CE72CE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5A2F9C">
        <w:rPr>
          <w:rFonts w:ascii="Arial" w:hAnsi="Arial" w:cs="Arial"/>
          <w:b/>
          <w:color w:val="000000" w:themeColor="text1"/>
          <w:spacing w:val="-2"/>
          <w:sz w:val="28"/>
          <w:szCs w:val="28"/>
        </w:rPr>
        <w:t xml:space="preserve">Oświadczenia </w:t>
      </w:r>
      <w:r w:rsidRPr="005A2F9C">
        <w:rPr>
          <w:rFonts w:ascii="Arial" w:hAnsi="Arial" w:cs="Arial"/>
          <w:b/>
          <w:spacing w:val="-2"/>
          <w:sz w:val="28"/>
          <w:szCs w:val="28"/>
        </w:rPr>
        <w:t>dotyczącego wyodrębnionego rachunku płatniczego do 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0A3153C" w14:textId="5F7FC7B1" w:rsidR="00CE72CE" w:rsidRPr="00FA3BB4" w:rsidRDefault="0089189A" w:rsidP="008564C7">
      <w:pPr>
        <w:numPr>
          <w:ilvl w:val="0"/>
          <w:numId w:val="16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17BDF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Wniosku o dodanie osoby zarządzającej projektem w</w:t>
      </w:r>
      <w:r w:rsidR="00170028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Pr="00F17BDF">
        <w:rPr>
          <w:rFonts w:ascii="Arial" w:hAnsi="Arial" w:cs="Arial"/>
          <w:b/>
          <w:bCs/>
          <w:spacing w:val="-2"/>
          <w:sz w:val="28"/>
          <w:szCs w:val="28"/>
        </w:rPr>
        <w:t>systemie SL2021 Projekty</w:t>
      </w:r>
      <w:r w:rsidRPr="0089189A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89189A">
        <w:rPr>
          <w:rFonts w:ascii="Arial" w:hAnsi="Arial" w:cs="Arial"/>
          <w:bCs/>
          <w:spacing w:val="-2"/>
          <w:sz w:val="24"/>
          <w:szCs w:val="24"/>
        </w:rPr>
        <w:t>po stronie beneficjenta</w:t>
      </w:r>
      <w:r w:rsidR="006D69BB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B7248AE" w14:textId="34FCB089" w:rsidR="00CE72CE" w:rsidRPr="00FA3BB4" w:rsidRDefault="0089189A" w:rsidP="00170028">
      <w:pPr>
        <w:numPr>
          <w:ilvl w:val="0"/>
          <w:numId w:val="16"/>
        </w:numPr>
        <w:spacing w:before="120"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17BDF">
        <w:rPr>
          <w:rFonts w:ascii="Arial" w:hAnsi="Arial" w:cs="Arial"/>
          <w:b/>
          <w:sz w:val="28"/>
          <w:szCs w:val="28"/>
        </w:rPr>
        <w:t>Kopii umowy o partnerstwie na rzecz realizacji projektu</w:t>
      </w:r>
      <w:r w:rsidR="006D69BB">
        <w:rPr>
          <w:rFonts w:ascii="Arial" w:hAnsi="Arial" w:cs="Arial"/>
          <w:b/>
          <w:sz w:val="24"/>
          <w:szCs w:val="24"/>
        </w:rPr>
        <w:t xml:space="preserve"> </w:t>
      </w:r>
      <w:r w:rsidR="00CE72CE" w:rsidRPr="00FA3BB4">
        <w:rPr>
          <w:rFonts w:ascii="Arial" w:hAnsi="Arial" w:cs="Arial"/>
          <w:bCs/>
          <w:spacing w:val="-2"/>
          <w:sz w:val="24"/>
          <w:szCs w:val="24"/>
        </w:rPr>
        <w:t>(jeśli</w:t>
      </w:r>
      <w:r w:rsidR="00170028">
        <w:rPr>
          <w:rFonts w:ascii="Arial" w:hAnsi="Arial" w:cs="Arial"/>
          <w:bCs/>
          <w:spacing w:val="-2"/>
          <w:sz w:val="24"/>
          <w:szCs w:val="24"/>
        </w:rPr>
        <w:t> </w:t>
      </w:r>
      <w:r w:rsidR="00CE72CE" w:rsidRPr="00FA3BB4">
        <w:rPr>
          <w:rFonts w:ascii="Arial" w:hAnsi="Arial" w:cs="Arial"/>
          <w:bCs/>
          <w:spacing w:val="-2"/>
          <w:sz w:val="24"/>
          <w:szCs w:val="24"/>
        </w:rPr>
        <w:t>dotyczy).</w:t>
      </w:r>
    </w:p>
    <w:p w14:paraId="32CC9CF2" w14:textId="1DC3F463" w:rsidR="0089189A" w:rsidRPr="005A2F9C" w:rsidRDefault="0089189A" w:rsidP="0089189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 w:val="0"/>
        <w:rPr>
          <w:rFonts w:ascii="Arial" w:hAnsi="Arial" w:cs="Arial"/>
          <w:bCs/>
          <w:sz w:val="24"/>
          <w:szCs w:val="24"/>
        </w:rPr>
      </w:pPr>
      <w:r w:rsidRPr="00F17BDF">
        <w:rPr>
          <w:rFonts w:ascii="Arial" w:hAnsi="Arial" w:cs="Arial"/>
          <w:b/>
          <w:sz w:val="28"/>
          <w:szCs w:val="28"/>
        </w:rPr>
        <w:t>Oświadczenia dotyczącego warunków niezbędnych do podpisania umowy o dofinansowanie i realizacji projektu</w:t>
      </w:r>
      <w:r w:rsidRPr="005A2F9C">
        <w:rPr>
          <w:rFonts w:ascii="Arial" w:hAnsi="Arial" w:cs="Arial"/>
          <w:bCs/>
          <w:sz w:val="24"/>
          <w:szCs w:val="24"/>
        </w:rPr>
        <w:t>, w</w:t>
      </w:r>
      <w:r w:rsidR="00170028">
        <w:rPr>
          <w:rFonts w:ascii="Arial" w:hAnsi="Arial" w:cs="Arial"/>
          <w:bCs/>
          <w:sz w:val="24"/>
          <w:szCs w:val="24"/>
        </w:rPr>
        <w:t> </w:t>
      </w:r>
      <w:r w:rsidRPr="005A2F9C">
        <w:rPr>
          <w:rFonts w:ascii="Arial" w:hAnsi="Arial" w:cs="Arial"/>
          <w:bCs/>
          <w:sz w:val="24"/>
          <w:szCs w:val="24"/>
        </w:rPr>
        <w:t>szczególności dotyczące:</w:t>
      </w:r>
    </w:p>
    <w:p w14:paraId="1CB17C52" w14:textId="77777777" w:rsidR="0089189A" w:rsidRPr="00880D43" w:rsidRDefault="0089189A" w:rsidP="0089189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ind w:left="1560" w:hanging="426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spełnienia kryteriów,</w:t>
      </w:r>
    </w:p>
    <w:p w14:paraId="5FFB20F1" w14:textId="77777777" w:rsidR="0089189A" w:rsidRPr="00880D43" w:rsidRDefault="0089189A" w:rsidP="0089189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ind w:left="1560" w:hanging="426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braku podwójnego finansowania,</w:t>
      </w:r>
    </w:p>
    <w:p w14:paraId="402B9E82" w14:textId="77777777" w:rsidR="0089189A" w:rsidRPr="00880D43" w:rsidRDefault="0089189A" w:rsidP="0089189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ind w:left="1560" w:hanging="426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zgodności z przepisami prawa,</w:t>
      </w:r>
    </w:p>
    <w:p w14:paraId="646CBCB6" w14:textId="77777777" w:rsidR="0089189A" w:rsidRPr="00AE120F" w:rsidRDefault="0089189A" w:rsidP="0089189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ind w:left="1560" w:hanging="426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kwalifikowalności projektu</w:t>
      </w:r>
      <w:r w:rsidRPr="00AE120F">
        <w:rPr>
          <w:rFonts w:ascii="Arial" w:hAnsi="Arial" w:cs="Arial"/>
          <w:sz w:val="24"/>
          <w:szCs w:val="24"/>
        </w:rPr>
        <w:t>,</w:t>
      </w:r>
    </w:p>
    <w:p w14:paraId="06761E9A" w14:textId="77777777" w:rsidR="00C80C3E" w:rsidRDefault="0089189A" w:rsidP="00C80C3E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ind w:left="1560" w:hanging="426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>spełnienia wymogów dotyczących partnerstwa</w:t>
      </w:r>
      <w:r>
        <w:rPr>
          <w:rFonts w:ascii="Arial" w:hAnsi="Arial" w:cs="Arial"/>
          <w:sz w:val="24"/>
          <w:szCs w:val="24"/>
        </w:rPr>
        <w:t xml:space="preserve"> (jeśli dotyczy)</w:t>
      </w:r>
      <w:r w:rsidRPr="00880D43">
        <w:rPr>
          <w:rFonts w:ascii="Arial" w:hAnsi="Arial" w:cs="Arial"/>
          <w:sz w:val="24"/>
          <w:szCs w:val="24"/>
        </w:rPr>
        <w:t>,</w:t>
      </w:r>
    </w:p>
    <w:p w14:paraId="28CE600E" w14:textId="6EEEA0E3" w:rsidR="00CE72CE" w:rsidRPr="00C80C3E" w:rsidRDefault="0089189A" w:rsidP="00C80C3E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ind w:left="1560" w:hanging="426"/>
        <w:contextualSpacing w:val="0"/>
        <w:rPr>
          <w:rFonts w:ascii="Arial" w:hAnsi="Arial" w:cs="Arial"/>
          <w:sz w:val="24"/>
          <w:szCs w:val="24"/>
        </w:rPr>
      </w:pPr>
      <w:r w:rsidRPr="00C80C3E">
        <w:rPr>
          <w:rFonts w:ascii="Arial" w:hAnsi="Arial" w:cs="Arial"/>
          <w:sz w:val="24"/>
          <w:szCs w:val="24"/>
        </w:rPr>
        <w:t>pomocy publicznej (jeśli dotyczy).</w:t>
      </w:r>
    </w:p>
    <w:p w14:paraId="35C35F23" w14:textId="200C98C5" w:rsidR="00F663B3" w:rsidRPr="00234635" w:rsidRDefault="00E5622C" w:rsidP="00F663B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 w:val="0"/>
        <w:rPr>
          <w:rFonts w:ascii="Arial" w:hAnsi="Arial" w:cs="Arial"/>
          <w:b/>
          <w:sz w:val="28"/>
          <w:szCs w:val="28"/>
        </w:rPr>
      </w:pPr>
      <w:r w:rsidRPr="00F17BDF">
        <w:rPr>
          <w:rFonts w:ascii="Arial" w:hAnsi="Arial" w:cs="Arial"/>
          <w:b/>
          <w:iCs/>
          <w:sz w:val="28"/>
          <w:szCs w:val="28"/>
        </w:rPr>
        <w:t xml:space="preserve">Oświadczenia </w:t>
      </w:r>
      <w:r w:rsidR="00C80C3E" w:rsidRPr="00F17BDF">
        <w:rPr>
          <w:rFonts w:ascii="Arial" w:hAnsi="Arial" w:cs="Arial"/>
          <w:b/>
          <w:bCs/>
          <w:spacing w:val="-2"/>
          <w:sz w:val="28"/>
          <w:szCs w:val="28"/>
        </w:rPr>
        <w:t>dotyczącego przestrzegania zasad niedyskryminacji</w:t>
      </w:r>
      <w:r w:rsidR="00C80C3E" w:rsidRPr="00F17BDF">
        <w:rPr>
          <w:rFonts w:ascii="Arial" w:hAnsi="Arial" w:cs="Arial"/>
          <w:b/>
          <w:iCs/>
          <w:sz w:val="28"/>
          <w:szCs w:val="28"/>
        </w:rPr>
        <w:t xml:space="preserve"> </w:t>
      </w:r>
      <w:r w:rsidRPr="00F17BDF">
        <w:rPr>
          <w:rFonts w:ascii="Arial" w:hAnsi="Arial" w:cs="Arial"/>
          <w:b/>
          <w:iCs/>
          <w:sz w:val="28"/>
          <w:szCs w:val="28"/>
        </w:rPr>
        <w:t>(nie dotyczy OHP).</w:t>
      </w:r>
      <w:r w:rsidR="00437319">
        <w:rPr>
          <w:rFonts w:ascii="Arial" w:hAnsi="Arial" w:cs="Arial"/>
          <w:b/>
          <w:iCs/>
          <w:sz w:val="28"/>
          <w:szCs w:val="28"/>
        </w:rPr>
        <w:t xml:space="preserve"> </w:t>
      </w:r>
      <w:r w:rsidRPr="00234635">
        <w:rPr>
          <w:rFonts w:ascii="Arial" w:hAnsi="Arial" w:cs="Arial"/>
          <w:iCs/>
          <w:sz w:val="24"/>
          <w:szCs w:val="24"/>
        </w:rPr>
        <w:t>W</w:t>
      </w:r>
      <w:r w:rsidRPr="00234635">
        <w:rPr>
          <w:rFonts w:ascii="Arial" w:hAnsi="Arial" w:cs="Arial"/>
          <w:sz w:val="24"/>
          <w:szCs w:val="24"/>
        </w:rPr>
        <w:t xml:space="preserve"> przypadku projektów realizowanych w partnerstwie odrębne oświadczenie składa każdy z </w:t>
      </w:r>
      <w:r w:rsidR="00C80C3E" w:rsidRPr="00234635">
        <w:rPr>
          <w:rFonts w:ascii="Arial" w:hAnsi="Arial" w:cs="Arial"/>
          <w:sz w:val="24"/>
          <w:szCs w:val="24"/>
        </w:rPr>
        <w:t>partnerów</w:t>
      </w:r>
      <w:r w:rsidR="00C80C3E" w:rsidRPr="00234635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3B95A1FA" w14:textId="77777777" w:rsidR="00234635" w:rsidRPr="00234635" w:rsidRDefault="00234635" w:rsidP="00234635">
      <w:pPr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/>
        <w:rPr>
          <w:rFonts w:ascii="Arial" w:hAnsi="Arial" w:cs="Arial"/>
          <w:b/>
          <w:bCs/>
          <w:sz w:val="28"/>
          <w:szCs w:val="28"/>
        </w:rPr>
      </w:pPr>
      <w:r w:rsidRPr="00234635">
        <w:rPr>
          <w:rFonts w:ascii="Arial" w:hAnsi="Arial" w:cs="Arial"/>
          <w:b/>
          <w:bCs/>
          <w:sz w:val="28"/>
          <w:szCs w:val="28"/>
        </w:rPr>
        <w:t xml:space="preserve">Zaświadczenia o niezaleganiu w podatkach z właściwego urzędu skarbowego Beneficjenta, Partnera. </w:t>
      </w:r>
    </w:p>
    <w:p w14:paraId="1E4D8041" w14:textId="7673CD95" w:rsidR="00234635" w:rsidRPr="00234635" w:rsidRDefault="00234635" w:rsidP="002346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ind w:left="1134" w:hanging="567"/>
        <w:contextualSpacing w:val="0"/>
        <w:rPr>
          <w:rFonts w:ascii="Arial" w:hAnsi="Arial" w:cs="Arial"/>
          <w:b/>
          <w:sz w:val="28"/>
          <w:szCs w:val="28"/>
        </w:rPr>
      </w:pPr>
      <w:r w:rsidRPr="00234635">
        <w:rPr>
          <w:rFonts w:ascii="Arial" w:hAnsi="Arial" w:cs="Arial"/>
          <w:b/>
          <w:bCs/>
          <w:sz w:val="28"/>
          <w:szCs w:val="28"/>
        </w:rPr>
        <w:t>Zaświadczenia z ZUS o niezaleganiu w opłacaniu składek przez Beneficjenta, Partnera</w:t>
      </w:r>
      <w:r w:rsidRPr="001C6BE9">
        <w:rPr>
          <w:rFonts w:ascii="Arial" w:hAnsi="Arial" w:cs="Arial"/>
          <w:bCs/>
          <w:sz w:val="24"/>
          <w:szCs w:val="24"/>
        </w:rPr>
        <w:t>.</w:t>
      </w:r>
    </w:p>
    <w:p w14:paraId="18AB2D37" w14:textId="2205879F" w:rsidR="00F663B3" w:rsidRDefault="00E5622C" w:rsidP="00F663B3">
      <w:pPr>
        <w:pStyle w:val="Akapitzlist"/>
        <w:numPr>
          <w:ilvl w:val="0"/>
          <w:numId w:val="86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80D43">
        <w:rPr>
          <w:rFonts w:ascii="Arial" w:hAnsi="Arial" w:cs="Arial"/>
          <w:sz w:val="24"/>
          <w:szCs w:val="24"/>
        </w:rPr>
        <w:t xml:space="preserve">IP może wezwać pisemnie </w:t>
      </w:r>
      <w:r>
        <w:rPr>
          <w:rFonts w:ascii="Arial" w:hAnsi="Arial" w:cs="Arial"/>
          <w:sz w:val="24"/>
          <w:szCs w:val="24"/>
        </w:rPr>
        <w:t>w</w:t>
      </w:r>
      <w:r w:rsidRPr="00880D43">
        <w:rPr>
          <w:rFonts w:ascii="Arial" w:hAnsi="Arial" w:cs="Arial"/>
          <w:sz w:val="24"/>
          <w:szCs w:val="24"/>
        </w:rPr>
        <w:t xml:space="preserve">nioskodawcę do złożenia </w:t>
      </w:r>
      <w:r w:rsidR="00170028" w:rsidRPr="00880D43">
        <w:rPr>
          <w:rFonts w:ascii="Arial" w:hAnsi="Arial" w:cs="Arial"/>
          <w:sz w:val="24"/>
          <w:szCs w:val="24"/>
        </w:rPr>
        <w:t>innych</w:t>
      </w:r>
      <w:r w:rsidRPr="00880D43">
        <w:rPr>
          <w:rFonts w:ascii="Arial" w:hAnsi="Arial" w:cs="Arial"/>
          <w:sz w:val="24"/>
          <w:szCs w:val="24"/>
        </w:rPr>
        <w:t xml:space="preserve"> niż wymienione, jeśli okażą się one niezbędne do przygotowania lub podpisania umowy o dofinansowanie projektu. </w:t>
      </w:r>
    </w:p>
    <w:p w14:paraId="49EB98C6" w14:textId="77777777" w:rsidR="00F663B3" w:rsidRDefault="00E5622C" w:rsidP="00F663B3">
      <w:pPr>
        <w:pStyle w:val="Akapitzlist"/>
        <w:numPr>
          <w:ilvl w:val="0"/>
          <w:numId w:val="86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F663B3">
        <w:rPr>
          <w:rFonts w:ascii="Arial" w:hAnsi="Arial" w:cs="Arial"/>
          <w:sz w:val="24"/>
          <w:szCs w:val="24"/>
        </w:rPr>
        <w:t xml:space="preserve">Niezłożenie kompletu żądanych dokumentów i załączników w wyznaczonym przez IP terminie </w:t>
      </w:r>
      <w:r w:rsidR="002D518A" w:rsidRPr="00F663B3">
        <w:rPr>
          <w:rFonts w:ascii="Arial" w:hAnsi="Arial" w:cs="Arial"/>
          <w:sz w:val="24"/>
          <w:szCs w:val="24"/>
        </w:rPr>
        <w:t>(</w:t>
      </w:r>
      <w:r w:rsidRPr="00F663B3">
        <w:rPr>
          <w:rFonts w:ascii="Arial" w:hAnsi="Arial" w:cs="Arial"/>
          <w:sz w:val="24"/>
          <w:szCs w:val="24"/>
        </w:rPr>
        <w:t xml:space="preserve">14 dni </w:t>
      </w:r>
      <w:r w:rsidR="00FF39AA" w:rsidRPr="00F663B3">
        <w:rPr>
          <w:rFonts w:ascii="Arial" w:hAnsi="Arial" w:cs="Arial"/>
          <w:sz w:val="24"/>
          <w:szCs w:val="24"/>
        </w:rPr>
        <w:t xml:space="preserve">kalendarzowych </w:t>
      </w:r>
      <w:r w:rsidRPr="00F663B3">
        <w:rPr>
          <w:rFonts w:ascii="Arial" w:hAnsi="Arial" w:cs="Arial"/>
          <w:sz w:val="24"/>
          <w:szCs w:val="24"/>
        </w:rPr>
        <w:t>od dnia otrzymania pisemnej informacji</w:t>
      </w:r>
      <w:r w:rsidR="00FF39AA" w:rsidRPr="00F663B3">
        <w:rPr>
          <w:rFonts w:ascii="Arial" w:hAnsi="Arial" w:cs="Arial"/>
          <w:sz w:val="24"/>
          <w:szCs w:val="24"/>
        </w:rPr>
        <w:t>)</w:t>
      </w:r>
      <w:r w:rsidRPr="00F663B3">
        <w:rPr>
          <w:rFonts w:ascii="Arial" w:hAnsi="Arial" w:cs="Arial"/>
          <w:sz w:val="24"/>
          <w:szCs w:val="24"/>
        </w:rPr>
        <w:t xml:space="preserve"> </w:t>
      </w:r>
      <w:r w:rsidRPr="00F663B3">
        <w:rPr>
          <w:rFonts w:ascii="Arial" w:hAnsi="Arial" w:cs="Arial"/>
          <w:sz w:val="24"/>
          <w:szCs w:val="24"/>
        </w:rPr>
        <w:lastRenderedPageBreak/>
        <w:t>oznacza rezygnację z ubiegania się o dofinansowanie umożliwiającą IP odstąpienie od podpisania umowy o dofinansowanie projektu. W przypadku braku możliwości dostarczenia dokumentów w wyznaczonym terminie wnioskodawca musi poinformować o tym IP.</w:t>
      </w:r>
    </w:p>
    <w:p w14:paraId="70C64160" w14:textId="77777777" w:rsidR="004F326C" w:rsidRPr="004F326C" w:rsidRDefault="00FF39AA" w:rsidP="004F326C">
      <w:pPr>
        <w:pStyle w:val="Akapitzlist"/>
        <w:numPr>
          <w:ilvl w:val="0"/>
          <w:numId w:val="86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F663B3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</w:t>
      </w:r>
      <w:r w:rsidR="002D2B72" w:rsidRPr="00F663B3">
        <w:rPr>
          <w:rFonts w:ascii="Arial" w:hAnsi="Arial" w:cs="Arial"/>
          <w:spacing w:val="-2"/>
          <w:sz w:val="24"/>
          <w:szCs w:val="24"/>
        </w:rPr>
        <w:t>.</w:t>
      </w:r>
      <w:r w:rsidR="004F326C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F54020C" w14:textId="77777777" w:rsidR="004F326C" w:rsidRPr="004F326C" w:rsidRDefault="00CE72CE" w:rsidP="004F326C">
      <w:pPr>
        <w:pStyle w:val="Akapitzlist"/>
        <w:numPr>
          <w:ilvl w:val="0"/>
          <w:numId w:val="86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4F326C">
        <w:rPr>
          <w:rFonts w:ascii="Arial" w:hAnsi="Arial" w:cs="Arial"/>
          <w:spacing w:val="-2"/>
          <w:sz w:val="24"/>
          <w:szCs w:val="24"/>
        </w:rPr>
        <w:t xml:space="preserve">IP weryfikuje złożone przez wnioskodawcę załączniki niezbędne do podpisania umowy o dofinansowanie w terminie </w:t>
      </w:r>
      <w:r w:rsidRPr="004F326C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Pr="004F326C">
        <w:rPr>
          <w:rFonts w:ascii="Arial" w:hAnsi="Arial" w:cs="Arial"/>
          <w:spacing w:val="-2"/>
          <w:sz w:val="24"/>
          <w:szCs w:val="24"/>
        </w:rPr>
        <w:t xml:space="preserve">. ION nie jest związana powyższym terminem, jeśli w trakcie weryfikacji dokumenty wymagają poprawy. </w:t>
      </w:r>
      <w:r w:rsidR="004F326C" w:rsidRPr="004F326C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E468668" w14:textId="229F2B7C" w:rsidR="004F326C" w:rsidRPr="004F326C" w:rsidRDefault="00CE72CE" w:rsidP="004F326C">
      <w:pPr>
        <w:pStyle w:val="Akapitzlist"/>
        <w:numPr>
          <w:ilvl w:val="0"/>
          <w:numId w:val="86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4F326C">
        <w:rPr>
          <w:rFonts w:ascii="Arial" w:hAnsi="Arial" w:cs="Arial"/>
          <w:spacing w:val="-2"/>
          <w:sz w:val="24"/>
          <w:szCs w:val="24"/>
        </w:rPr>
        <w:t>Podpisanie umowy o dofinansowanie nastąpi w terminie nie dłuższym niż 30 dni kalendarzowych od dnia zakończenia weryfikacji załączników złożonych przez wnioskodawcę.</w:t>
      </w:r>
      <w:r w:rsidR="004F326C" w:rsidRPr="004F326C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5F9360" w14:textId="00C7063A" w:rsidR="00E5622C" w:rsidRPr="004F326C" w:rsidRDefault="00CE72CE" w:rsidP="00AE6604">
      <w:pPr>
        <w:pStyle w:val="Akapitzlist"/>
        <w:numPr>
          <w:ilvl w:val="0"/>
          <w:numId w:val="86"/>
        </w:numPr>
        <w:spacing w:before="120" w:after="36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4F326C">
        <w:rPr>
          <w:rFonts w:ascii="Arial" w:hAnsi="Arial" w:cs="Arial"/>
          <w:spacing w:val="-2"/>
          <w:sz w:val="24"/>
          <w:szCs w:val="24"/>
        </w:rPr>
        <w:t>Jeżeli IP po wybraniu projektu do dofinansowania, a przed zawarciem umowy o dofinansowanie projektu, uzyska wiedzę o okolicznościach mogących mieć negatywny wpływ na wynik oceny projektu, ponownie kieruje projekt do oceny w stosownym zakresie, o czym informuje wnioskodawcę</w:t>
      </w:r>
      <w:bookmarkStart w:id="47" w:name="_Toc217302996"/>
      <w:bookmarkStart w:id="48" w:name="_Hlk117063065"/>
      <w:r w:rsidR="00333DA6" w:rsidRPr="004F326C">
        <w:rPr>
          <w:rFonts w:ascii="Arial" w:hAnsi="Arial" w:cs="Arial"/>
          <w:spacing w:val="-2"/>
          <w:sz w:val="24"/>
          <w:szCs w:val="24"/>
        </w:rPr>
        <w:t>.</w:t>
      </w:r>
    </w:p>
    <w:p w14:paraId="57D2A76B" w14:textId="494BF52A" w:rsidR="00CE72CE" w:rsidRPr="00BC5481" w:rsidRDefault="00CE72CE" w:rsidP="00170028">
      <w:pPr>
        <w:pStyle w:val="1Nagwek"/>
        <w:numPr>
          <w:ilvl w:val="0"/>
          <w:numId w:val="62"/>
        </w:numPr>
        <w:spacing w:before="120" w:after="120"/>
        <w:ind w:left="357" w:hanging="357"/>
      </w:pPr>
      <w:r w:rsidRPr="00BC5481">
        <w:t>Postanowienia końcowe</w:t>
      </w:r>
      <w:bookmarkEnd w:id="47"/>
    </w:p>
    <w:bookmarkEnd w:id="48"/>
    <w:p w14:paraId="476D973A" w14:textId="299DBD66" w:rsidR="00CE72CE" w:rsidRPr="00BC5481" w:rsidRDefault="00CE72CE" w:rsidP="008564C7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IP zastrzega sobie prawo do unieważnienia wyboru projektów do dofinansowania.</w:t>
      </w:r>
    </w:p>
    <w:p w14:paraId="524F6BD4" w14:textId="77777777" w:rsidR="00CE72CE" w:rsidRPr="00BC5481" w:rsidRDefault="00CE72CE" w:rsidP="008564C7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IP przekaże do publicznej wiadomości informację o unieważnieniu oraz zamieści na stronach internetowych </w:t>
      </w:r>
      <w:hyperlink r:id="rId35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6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oraz na portalu informację o unieważnieniu wyboru projektów do dofinansowania wraz z podaniem przyczyny.</w:t>
      </w:r>
    </w:p>
    <w:p w14:paraId="4BE88319" w14:textId="77777777" w:rsidR="00CE72CE" w:rsidRDefault="00CE72CE" w:rsidP="008564C7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9" w:name="_Hlk131591268"/>
      <w:r w:rsidRPr="00BC5481">
        <w:rPr>
          <w:rFonts w:ascii="Arial" w:hAnsi="Arial" w:cs="Arial"/>
          <w:spacing w:val="-2"/>
          <w:sz w:val="24"/>
          <w:szCs w:val="24"/>
        </w:rPr>
        <w:t>programu regionalnego FEŁ2027</w:t>
      </w:r>
      <w:bookmarkEnd w:id="49"/>
      <w:r w:rsidRPr="00BC5481">
        <w:rPr>
          <w:rFonts w:ascii="Arial" w:hAnsi="Arial" w:cs="Arial"/>
          <w:spacing w:val="-2"/>
          <w:sz w:val="24"/>
          <w:szCs w:val="24"/>
        </w:rPr>
        <w:t>, SZOP FEŁ2027, a także odpowiednich przepisów prawa wspólnotowego i krajowego.</w:t>
      </w:r>
    </w:p>
    <w:p w14:paraId="31FA432E" w14:textId="19555E72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50" w:name="_Toc217302997"/>
      <w:r w:rsidRPr="00BC5481">
        <w:lastRenderedPageBreak/>
        <w:t>Podstawy prawne i dokumenty</w:t>
      </w:r>
      <w:bookmarkEnd w:id="50"/>
    </w:p>
    <w:p w14:paraId="68F0012B" w14:textId="77777777" w:rsidR="00CE72CE" w:rsidRPr="00BC5481" w:rsidRDefault="00CE72CE" w:rsidP="00CE72C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5A69B712" w14:textId="77777777" w:rsidR="00CE72CE" w:rsidRPr="00F95CC6" w:rsidRDefault="00CE72CE" w:rsidP="00CE72C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>
        <w:rPr>
          <w:rFonts w:ascii="Arial" w:hAnsi="Arial" w:cs="Arial"/>
          <w:bCs/>
          <w:spacing w:val="-2"/>
          <w:sz w:val="24"/>
          <w:szCs w:val="24"/>
        </w:rPr>
        <w:t> </w:t>
      </w:r>
      <w:r w:rsidRPr="00F95CC6">
        <w:rPr>
          <w:rFonts w:ascii="Arial" w:hAnsi="Arial" w:cs="Arial"/>
          <w:bCs/>
          <w:spacing w:val="-2"/>
          <w:sz w:val="24"/>
          <w:szCs w:val="24"/>
        </w:rPr>
        <w:t>powszechnie obowiązujących przepisów prawa, w szczególności z przepisów przejściowych.</w:t>
      </w:r>
    </w:p>
    <w:p w14:paraId="24A10F53" w14:textId="77777777" w:rsidR="00CE72CE" w:rsidRPr="00785B93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 Integracji, Funduszu Bezpieczeństwa Wewnętrznego i Instrumentu Wsparcia Finansowego na rzecz Zarządzania Granicami i Polityki Wizowej, </w:t>
      </w:r>
      <w:r w:rsidRPr="00785B93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51D59833" w14:textId="77777777" w:rsidR="00CE72CE" w:rsidRPr="00785B93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785B93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</w:t>
      </w:r>
      <w:r w:rsidRPr="000B582C">
        <w:rPr>
          <w:rFonts w:ascii="Arial" w:hAnsi="Arial" w:cs="Arial"/>
          <w:spacing w:val="-2"/>
          <w:sz w:val="24"/>
          <w:szCs w:val="24"/>
        </w:rPr>
        <w:t>2021/1057 z dnia 24 czerwca 2021 r. ustanawiające Europejski Fundusz Spo</w:t>
      </w:r>
      <w:r w:rsidRPr="00785B93">
        <w:rPr>
          <w:rFonts w:ascii="Arial" w:hAnsi="Arial" w:cs="Arial"/>
          <w:spacing w:val="-2"/>
          <w:sz w:val="24"/>
          <w:szCs w:val="24"/>
        </w:rPr>
        <w:t>łeczny Plus (EFS+) oraz uchylające rozporządzenie (UE) nr 1296/2013;</w:t>
      </w:r>
    </w:p>
    <w:p w14:paraId="0A3CCD73" w14:textId="77777777" w:rsidR="00CE72CE" w:rsidRPr="009E0C69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A12FC2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 107 i 108 Traktatu</w:t>
      </w:r>
      <w:r w:rsidRPr="009E0C69">
        <w:rPr>
          <w:rFonts w:ascii="Arial" w:hAnsi="Arial" w:cs="Arial"/>
          <w:spacing w:val="-2"/>
          <w:sz w:val="24"/>
          <w:szCs w:val="24"/>
        </w:rPr>
        <w:t>;</w:t>
      </w:r>
    </w:p>
    <w:p w14:paraId="59A25DFD" w14:textId="77777777" w:rsidR="00CE72CE" w:rsidRPr="009E0C69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E0C69">
        <w:rPr>
          <w:rFonts w:ascii="Arial" w:hAnsi="Arial" w:cs="Arial"/>
          <w:spacing w:val="-2"/>
          <w:sz w:val="24"/>
          <w:szCs w:val="24"/>
        </w:rPr>
        <w:t xml:space="preserve"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 rynkiem wewnętrznym w zastosowaniu art. 107 i 108 Traktatu; </w:t>
      </w:r>
    </w:p>
    <w:p w14:paraId="44FC8901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Rozporządzenie Parlamentu </w:t>
      </w:r>
      <w:r w:rsidRPr="009E0C69">
        <w:rPr>
          <w:rFonts w:ascii="Arial" w:hAnsi="Arial" w:cs="Arial"/>
          <w:spacing w:val="-2"/>
          <w:sz w:val="24"/>
          <w:szCs w:val="24"/>
        </w:rPr>
        <w:t>Europejskiego i Rady (UE) 2016/679 z dnia 27 kwietnia 2016 r. w sprawie ochrony osób fizycznych w związku z przetwarzaniem danych osobowych i 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sprawie swobodnego przepływu takich danych oraz uchylenia dyrektywy 95/46/WE (ogólne rozporządzenie o ochronie danych);</w:t>
      </w:r>
    </w:p>
    <w:p w14:paraId="5A6A5136" w14:textId="2D2891AE" w:rsidR="00CE72CE" w:rsidRPr="004F326C" w:rsidRDefault="00CE72CE" w:rsidP="004F326C">
      <w:pPr>
        <w:pStyle w:val="Akapitzlist"/>
        <w:numPr>
          <w:ilvl w:val="1"/>
          <w:numId w:val="4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Sprostowanie do Rozporządzenia Parlamentu Europejskiego i Rady (UE) </w:t>
      </w:r>
      <w:r w:rsidRPr="009E0C69">
        <w:rPr>
          <w:rFonts w:ascii="Arial" w:hAnsi="Arial" w:cs="Arial"/>
          <w:spacing w:val="-2"/>
          <w:sz w:val="24"/>
          <w:szCs w:val="24"/>
        </w:rPr>
        <w:t>2016/679 z dnia 27 kwietnia 2016 r.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sprawie ochrony osób fizycznych w związku z przetwarzaniem danych osobowych w sprawie swobodnego przepływu takich danych oraz uchylenia dyrektywy 95/46/WE, zwane „RODO”</w:t>
      </w:r>
      <w:r w:rsidRPr="004F326C">
        <w:rPr>
          <w:rFonts w:ascii="Arial" w:eastAsia="Times New Roman" w:hAnsi="Arial" w:cs="Arial"/>
          <w:spacing w:val="-2"/>
          <w:sz w:val="24"/>
          <w:szCs w:val="24"/>
          <w:lang w:eastAsia="pl-PL"/>
        </w:rPr>
        <w:t>;</w:t>
      </w:r>
    </w:p>
    <w:p w14:paraId="3BBA6700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790E316E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308B3F46" w14:textId="77777777" w:rsidR="00CE72CE" w:rsidRPr="00BC5481" w:rsidRDefault="00CE72CE" w:rsidP="00A41681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69073313" w14:textId="77777777" w:rsidR="00CE72CE" w:rsidRPr="00BC5481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543F4727" w14:textId="77777777" w:rsidR="00CE72CE" w:rsidRPr="009E0C69" w:rsidRDefault="00CE72CE" w:rsidP="008564C7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</w:t>
      </w:r>
      <w:r w:rsidRPr="009E0C69">
        <w:rPr>
          <w:rFonts w:ascii="Arial" w:hAnsi="Arial" w:cs="Arial"/>
          <w:spacing w:val="-2"/>
          <w:sz w:val="24"/>
          <w:szCs w:val="24"/>
        </w:rPr>
        <w:t>z dnia 27 sierpnia 2009 r. o finansach publicznych;</w:t>
      </w:r>
    </w:p>
    <w:p w14:paraId="3853DB57" w14:textId="1F6B3D76" w:rsidR="008564C7" w:rsidRPr="004F326C" w:rsidRDefault="00CE72CE" w:rsidP="004F326C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9E0C69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zwaną PZP</w:t>
      </w:r>
      <w:r w:rsidR="008564C7" w:rsidRPr="004F326C">
        <w:rPr>
          <w:rFonts w:ascii="Arial" w:hAnsi="Arial" w:cs="Arial"/>
          <w:sz w:val="24"/>
          <w:szCs w:val="24"/>
        </w:rPr>
        <w:t>;</w:t>
      </w:r>
    </w:p>
    <w:p w14:paraId="3EC5F0E5" w14:textId="77777777" w:rsidR="004F326C" w:rsidRDefault="002D04A4" w:rsidP="004F326C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20 marca 2025 r. o rynku pracy i służbach zatrudnienia</w:t>
      </w:r>
      <w:r>
        <w:rPr>
          <w:rFonts w:ascii="Arial" w:hAnsi="Arial" w:cs="Arial"/>
          <w:spacing w:val="-2"/>
          <w:sz w:val="24"/>
          <w:szCs w:val="24"/>
        </w:rPr>
        <w:t>;</w:t>
      </w:r>
    </w:p>
    <w:p w14:paraId="3354019B" w14:textId="001B9F96" w:rsidR="00CE72CE" w:rsidRPr="004F326C" w:rsidRDefault="00CE72CE" w:rsidP="004F326C">
      <w:pPr>
        <w:pStyle w:val="Akapitzlist"/>
        <w:numPr>
          <w:ilvl w:val="1"/>
          <w:numId w:val="4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4F326C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8CE5593" w14:textId="77777777" w:rsidR="00CE72CE" w:rsidRPr="00BC5481" w:rsidDel="00616C63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51" w:name="_Hlk155944776"/>
      <w:r w:rsidRPr="007D2A7C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51"/>
    <w:p w14:paraId="5EB5C011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7D9639F1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739D6BA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50EF60EE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0A666F9E" w14:textId="77777777" w:rsidR="00CE72CE" w:rsidRPr="00096695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534825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realizacji projektów z udziałem środków Europejskiego Funduszu Społecznego Plus w regionalnych progra</w:t>
      </w:r>
      <w:r w:rsidRPr="00096695">
        <w:rPr>
          <w:rFonts w:ascii="Arial" w:hAnsi="Arial" w:cs="Arial"/>
          <w:spacing w:val="-2"/>
          <w:sz w:val="24"/>
          <w:szCs w:val="24"/>
        </w:rPr>
        <w:t>mach na lata 2021-2027;</w:t>
      </w:r>
    </w:p>
    <w:p w14:paraId="16D4BC1E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7A419BD1" w14:textId="77777777" w:rsidR="00CE72CE" w:rsidRPr="00BC548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4203A7B9" w14:textId="37E0E716" w:rsidR="00CE72CE" w:rsidRPr="000D080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</w:t>
      </w:r>
      <w:r w:rsidRPr="000D0801">
        <w:rPr>
          <w:rFonts w:ascii="Arial" w:hAnsi="Arial" w:cs="Arial"/>
          <w:spacing w:val="-2"/>
          <w:sz w:val="24"/>
          <w:szCs w:val="24"/>
        </w:rPr>
        <w:t>inwestycyjnych</w:t>
      </w:r>
      <w:r w:rsidR="007D2A7C" w:rsidRPr="000D0801">
        <w:rPr>
          <w:rFonts w:ascii="Arial" w:hAnsi="Arial" w:cs="Arial"/>
          <w:spacing w:val="-2"/>
          <w:sz w:val="24"/>
          <w:szCs w:val="24"/>
        </w:rPr>
        <w:t>;</w:t>
      </w:r>
    </w:p>
    <w:p w14:paraId="2146355B" w14:textId="77777777" w:rsidR="00CE72CE" w:rsidRPr="000D080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D080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1D79B309" w14:textId="77777777" w:rsidR="00CE72CE" w:rsidRPr="000D0801" w:rsidRDefault="00CE72CE" w:rsidP="008564C7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0D0801">
        <w:rPr>
          <w:rFonts w:ascii="Arial" w:hAnsi="Arial" w:cs="Arial"/>
          <w:spacing w:val="-2"/>
          <w:sz w:val="24"/>
          <w:szCs w:val="24"/>
        </w:rPr>
        <w:t xml:space="preserve">Kartę Praw Podstawowych Unii Europejskiej z dnia 7 czerwca 2016 r.; </w:t>
      </w:r>
    </w:p>
    <w:p w14:paraId="387B69D4" w14:textId="5EF7D79A" w:rsidR="00912F51" w:rsidRPr="00234635" w:rsidRDefault="00CE72CE" w:rsidP="00234635">
      <w:pPr>
        <w:pStyle w:val="Akapitzlist"/>
        <w:numPr>
          <w:ilvl w:val="1"/>
          <w:numId w:val="66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color w:val="2F5496" w:themeColor="accent1" w:themeShade="BF"/>
          <w:spacing w:val="-2"/>
          <w:sz w:val="24"/>
          <w:szCs w:val="24"/>
        </w:rPr>
      </w:pPr>
      <w:r w:rsidRPr="000D080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12557A51" w14:textId="54C6F9C2" w:rsidR="00CE72CE" w:rsidRPr="00BC5481" w:rsidRDefault="00CE72CE" w:rsidP="00170028">
      <w:pPr>
        <w:pStyle w:val="1Nagwek"/>
        <w:numPr>
          <w:ilvl w:val="0"/>
          <w:numId w:val="62"/>
        </w:numPr>
        <w:spacing w:after="120"/>
        <w:ind w:left="357" w:hanging="357"/>
      </w:pPr>
      <w:bookmarkStart w:id="52" w:name="_Hlk117063102"/>
      <w:bookmarkStart w:id="53" w:name="_Toc217302998"/>
      <w:r w:rsidRPr="00BC5481">
        <w:t>Spis załączników</w:t>
      </w:r>
      <w:bookmarkEnd w:id="52"/>
      <w:bookmarkEnd w:id="53"/>
    </w:p>
    <w:p w14:paraId="744233B0" w14:textId="77777777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2AC5E4F8" w14:textId="6C543B8D" w:rsidR="00CE72CE" w:rsidRPr="00F95CC6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157E3E">
        <w:rPr>
          <w:rFonts w:ascii="Arial" w:hAnsi="Arial" w:cs="Arial"/>
          <w:spacing w:val="-2"/>
          <w:sz w:val="24"/>
          <w:szCs w:val="24"/>
        </w:rPr>
        <w:t>W</w:t>
      </w:r>
      <w:r w:rsidRPr="00F95CC6">
        <w:rPr>
          <w:rFonts w:ascii="Arial" w:hAnsi="Arial" w:cs="Arial"/>
          <w:spacing w:val="-2"/>
          <w:sz w:val="24"/>
          <w:szCs w:val="24"/>
        </w:rPr>
        <w:t>skaźniki</w:t>
      </w:r>
    </w:p>
    <w:p w14:paraId="04EDC5A7" w14:textId="43883D11" w:rsidR="00CE72CE" w:rsidRPr="00BC5481" w:rsidRDefault="00CE72CE" w:rsidP="00CE72CE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umowy o dofinansowanie projektu</w:t>
      </w:r>
      <w:r w:rsidR="00AE6604">
        <w:rPr>
          <w:rFonts w:ascii="Arial" w:hAnsi="Arial" w:cs="Arial"/>
          <w:spacing w:val="-2"/>
          <w:sz w:val="24"/>
          <w:szCs w:val="24"/>
        </w:rPr>
        <w:t xml:space="preserve"> </w:t>
      </w:r>
      <w:r w:rsidR="00157E3E">
        <w:rPr>
          <w:rFonts w:ascii="Arial" w:hAnsi="Arial" w:cs="Arial"/>
          <w:spacing w:val="-2"/>
          <w:sz w:val="24"/>
          <w:szCs w:val="24"/>
        </w:rPr>
        <w:t>(</w:t>
      </w:r>
      <w:r w:rsidR="00157E3E" w:rsidRPr="00880D43">
        <w:rPr>
          <w:rFonts w:ascii="Arial" w:hAnsi="Arial" w:cs="Arial"/>
          <w:sz w:val="24"/>
          <w:szCs w:val="24"/>
        </w:rPr>
        <w:t>kwoty ryczałtowe</w:t>
      </w:r>
      <w:r w:rsidR="00157E3E">
        <w:rPr>
          <w:rFonts w:ascii="Arial" w:hAnsi="Arial" w:cs="Arial"/>
          <w:spacing w:val="-2"/>
          <w:sz w:val="24"/>
          <w:szCs w:val="24"/>
        </w:rPr>
        <w:t>)</w:t>
      </w:r>
    </w:p>
    <w:p w14:paraId="25DD1A9E" w14:textId="0FD2104F" w:rsidR="007A75FF" w:rsidRPr="000C0903" w:rsidRDefault="00066CD7">
      <w:pPr>
        <w:rPr>
          <w:rFonts w:ascii="Arial" w:hAnsi="Arial" w:cs="Arial"/>
          <w:spacing w:val="-2"/>
          <w:sz w:val="24"/>
          <w:szCs w:val="24"/>
        </w:rPr>
      </w:pPr>
      <w:r w:rsidRPr="000C0903">
        <w:rPr>
          <w:rFonts w:ascii="Arial" w:hAnsi="Arial" w:cs="Arial"/>
          <w:spacing w:val="-2"/>
          <w:sz w:val="24"/>
          <w:szCs w:val="24"/>
        </w:rPr>
        <w:t xml:space="preserve">Załącznik nr 4 </w:t>
      </w:r>
      <w:r w:rsidR="00051E3C" w:rsidRPr="00051E3C">
        <w:rPr>
          <w:rFonts w:ascii="Arial" w:hAnsi="Arial" w:cs="Arial"/>
          <w:spacing w:val="-2"/>
          <w:sz w:val="24"/>
          <w:szCs w:val="24"/>
        </w:rPr>
        <w:t>–</w:t>
      </w:r>
      <w:r w:rsidRPr="000C0903">
        <w:rPr>
          <w:rFonts w:ascii="Arial" w:hAnsi="Arial" w:cs="Arial"/>
          <w:spacing w:val="-2"/>
          <w:sz w:val="24"/>
          <w:szCs w:val="24"/>
        </w:rPr>
        <w:t xml:space="preserve"> Zestawienie standardu i cen rynkowych</w:t>
      </w:r>
    </w:p>
    <w:sectPr w:rsidR="007A75FF" w:rsidRPr="000C0903" w:rsidSect="00CE72CE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B6FA0" w14:textId="77777777" w:rsidR="000C064F" w:rsidRDefault="000C064F">
      <w:pPr>
        <w:spacing w:after="0" w:line="240" w:lineRule="auto"/>
      </w:pPr>
      <w:r>
        <w:separator/>
      </w:r>
    </w:p>
  </w:endnote>
  <w:endnote w:type="continuationSeparator" w:id="0">
    <w:p w14:paraId="4F4B6B88" w14:textId="77777777" w:rsidR="000C064F" w:rsidRDefault="000C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AA4D3C6" w14:textId="762903F1" w:rsidR="00B84372" w:rsidRPr="00177037" w:rsidRDefault="00B84372" w:rsidP="006C5F2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7216" behindDoc="0" locked="0" layoutInCell="1" allowOverlap="1" wp14:anchorId="581FE35E" wp14:editId="7AF2EFFF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056897" name="Obraz 1083056897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F814D5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5D3311" w14:textId="77777777" w:rsidR="00B84372" w:rsidRDefault="00B84372" w:rsidP="006C5F2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F8C0" w14:textId="77777777" w:rsidR="00B84372" w:rsidRDefault="00B8437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6F31CF" wp14:editId="6D03FE9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13454" name="Obraz 13671134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7C9B4" w14:textId="77777777" w:rsidR="000C064F" w:rsidRDefault="000C064F">
      <w:pPr>
        <w:spacing w:after="0" w:line="240" w:lineRule="auto"/>
      </w:pPr>
      <w:r>
        <w:separator/>
      </w:r>
    </w:p>
  </w:footnote>
  <w:footnote w:type="continuationSeparator" w:id="0">
    <w:p w14:paraId="0F5F8ADD" w14:textId="77777777" w:rsidR="000C064F" w:rsidRDefault="000C0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BF148FB"/>
    <w:multiLevelType w:val="hybridMultilevel"/>
    <w:tmpl w:val="A4C0C5BE"/>
    <w:lvl w:ilvl="0" w:tplc="A67C7A88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E057A0D"/>
    <w:multiLevelType w:val="multilevel"/>
    <w:tmpl w:val="F81026A8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0FB"/>
    <w:multiLevelType w:val="hybridMultilevel"/>
    <w:tmpl w:val="726C2178"/>
    <w:lvl w:ilvl="0" w:tplc="7604F9D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F4EA5"/>
    <w:multiLevelType w:val="hybridMultilevel"/>
    <w:tmpl w:val="215C501A"/>
    <w:lvl w:ilvl="0" w:tplc="8998FFA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D7532"/>
    <w:multiLevelType w:val="hybridMultilevel"/>
    <w:tmpl w:val="E64CB3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A54A3"/>
    <w:multiLevelType w:val="hybridMultilevel"/>
    <w:tmpl w:val="A2528E3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AF1A85"/>
    <w:multiLevelType w:val="hybridMultilevel"/>
    <w:tmpl w:val="A09C0B92"/>
    <w:lvl w:ilvl="0" w:tplc="49769A50">
      <w:start w:val="5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4F4B44"/>
    <w:multiLevelType w:val="hybridMultilevel"/>
    <w:tmpl w:val="4F2835C6"/>
    <w:lvl w:ilvl="0" w:tplc="2C982554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819C6"/>
    <w:multiLevelType w:val="hybridMultilevel"/>
    <w:tmpl w:val="CDC8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E6579"/>
    <w:multiLevelType w:val="hybridMultilevel"/>
    <w:tmpl w:val="62F27C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562A30"/>
    <w:multiLevelType w:val="hybridMultilevel"/>
    <w:tmpl w:val="71A8B3DC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220317F8"/>
    <w:multiLevelType w:val="hybridMultilevel"/>
    <w:tmpl w:val="301644F4"/>
    <w:lvl w:ilvl="0" w:tplc="C302B654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BD3B48"/>
    <w:multiLevelType w:val="hybridMultilevel"/>
    <w:tmpl w:val="51FA7E5C"/>
    <w:lvl w:ilvl="0" w:tplc="6E727EA6">
      <w:start w:val="1"/>
      <w:numFmt w:val="decimal"/>
      <w:lvlText w:val="%1."/>
      <w:lvlJc w:val="left"/>
      <w:pPr>
        <w:ind w:left="776" w:hanging="360"/>
      </w:pPr>
      <w:rPr>
        <w:rFonts w:asciiTheme="minorHAnsi" w:eastAsiaTheme="minorHAnsi" w:hAnsiTheme="minorHAnsi" w:cstheme="minorBidi" w:hint="default"/>
        <w:b/>
        <w:bCs/>
        <w:color w:val="5B9BD5" w:themeColor="accent5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5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6E02C22"/>
    <w:multiLevelType w:val="hybridMultilevel"/>
    <w:tmpl w:val="D298B71A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 w15:restartNumberingAfterBreak="0">
    <w:nsid w:val="277C0895"/>
    <w:multiLevelType w:val="hybridMultilevel"/>
    <w:tmpl w:val="455432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1" w15:restartNumberingAfterBreak="0">
    <w:nsid w:val="2AE82E32"/>
    <w:multiLevelType w:val="hybridMultilevel"/>
    <w:tmpl w:val="D9BEFD04"/>
    <w:lvl w:ilvl="0" w:tplc="D21AD29C">
      <w:start w:val="4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BB3B2C"/>
    <w:multiLevelType w:val="hybridMultilevel"/>
    <w:tmpl w:val="2E84D2B0"/>
    <w:lvl w:ilvl="0" w:tplc="5D3EACDE">
      <w:start w:val="7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B40A3"/>
    <w:multiLevelType w:val="hybridMultilevel"/>
    <w:tmpl w:val="A04050DC"/>
    <w:lvl w:ilvl="0" w:tplc="3F040DE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4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A24FC9"/>
    <w:multiLevelType w:val="hybridMultilevel"/>
    <w:tmpl w:val="A1142258"/>
    <w:lvl w:ilvl="0" w:tplc="F35817C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E1420"/>
    <w:multiLevelType w:val="hybridMultilevel"/>
    <w:tmpl w:val="19CA986A"/>
    <w:lvl w:ilvl="0" w:tplc="A4CE01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69486E"/>
    <w:multiLevelType w:val="hybridMultilevel"/>
    <w:tmpl w:val="A082432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4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0102A"/>
    <w:multiLevelType w:val="hybridMultilevel"/>
    <w:tmpl w:val="B4165A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3887320"/>
    <w:multiLevelType w:val="hybridMultilevel"/>
    <w:tmpl w:val="C0F03822"/>
    <w:lvl w:ilvl="0" w:tplc="C38EB84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9" w15:restartNumberingAfterBreak="0">
    <w:nsid w:val="44E94FD3"/>
    <w:multiLevelType w:val="hybridMultilevel"/>
    <w:tmpl w:val="5470B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1D5F89"/>
    <w:multiLevelType w:val="hybridMultilevel"/>
    <w:tmpl w:val="185AA0E0"/>
    <w:lvl w:ilvl="0" w:tplc="BB1A741A">
      <w:start w:val="4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1" w15:restartNumberingAfterBreak="0">
    <w:nsid w:val="48453D30"/>
    <w:multiLevelType w:val="hybridMultilevel"/>
    <w:tmpl w:val="876CB67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2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B6C33FC"/>
    <w:multiLevelType w:val="multilevel"/>
    <w:tmpl w:val="681A2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D63406"/>
    <w:multiLevelType w:val="hybridMultilevel"/>
    <w:tmpl w:val="FFCCFA6E"/>
    <w:lvl w:ilvl="0" w:tplc="1C38E9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B834C9"/>
    <w:multiLevelType w:val="multilevel"/>
    <w:tmpl w:val="84D2D2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5481331A"/>
    <w:multiLevelType w:val="hybridMultilevel"/>
    <w:tmpl w:val="5DFA9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0" w15:restartNumberingAfterBreak="0">
    <w:nsid w:val="55375F2B"/>
    <w:multiLevelType w:val="hybridMultilevel"/>
    <w:tmpl w:val="3D207BC4"/>
    <w:lvl w:ilvl="0" w:tplc="803E3B52">
      <w:start w:val="10"/>
      <w:numFmt w:val="decimal"/>
      <w:pStyle w:val="Nagwekspisutreci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DC2C0E"/>
    <w:multiLevelType w:val="hybridMultilevel"/>
    <w:tmpl w:val="A1722146"/>
    <w:lvl w:ilvl="0" w:tplc="4A8401A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14771A"/>
    <w:multiLevelType w:val="hybridMultilevel"/>
    <w:tmpl w:val="DE7E0C42"/>
    <w:lvl w:ilvl="0" w:tplc="77CEA39E">
      <w:start w:val="2"/>
      <w:numFmt w:val="decimal"/>
      <w:lvlText w:val="%1."/>
      <w:lvlJc w:val="left"/>
      <w:pPr>
        <w:ind w:left="388" w:hanging="360"/>
      </w:pPr>
      <w:rPr>
        <w:rFonts w:ascii="Arial" w:eastAsiaTheme="minorHAnsi" w:hAnsi="Arial" w:cs="Arial" w:hint="default"/>
        <w:b/>
        <w:bCs/>
        <w:color w:val="2E74B5" w:themeColor="accent5" w:themeShade="BF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D25430"/>
    <w:multiLevelType w:val="hybridMultilevel"/>
    <w:tmpl w:val="D7C2D3B8"/>
    <w:lvl w:ilvl="0" w:tplc="5A5283AE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7068FE"/>
    <w:multiLevelType w:val="hybridMultilevel"/>
    <w:tmpl w:val="0CA67EA4"/>
    <w:lvl w:ilvl="0" w:tplc="F2F09B5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0491C3B"/>
    <w:multiLevelType w:val="hybridMultilevel"/>
    <w:tmpl w:val="11648D0A"/>
    <w:lvl w:ilvl="0" w:tplc="22509DCC">
      <w:start w:val="1"/>
      <w:numFmt w:val="lowerLetter"/>
      <w:lvlText w:val="%1)"/>
      <w:lvlJc w:val="left"/>
      <w:pPr>
        <w:ind w:left="107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0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141FA"/>
    <w:multiLevelType w:val="multilevel"/>
    <w:tmpl w:val="D12E4B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7945317"/>
    <w:multiLevelType w:val="hybridMultilevel"/>
    <w:tmpl w:val="B210B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687523"/>
    <w:multiLevelType w:val="hybridMultilevel"/>
    <w:tmpl w:val="82E62F62"/>
    <w:lvl w:ilvl="0" w:tplc="DB3E7FF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5" w15:restartNumberingAfterBreak="0">
    <w:nsid w:val="6B4636FE"/>
    <w:multiLevelType w:val="hybridMultilevel"/>
    <w:tmpl w:val="AFE0A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525BFA"/>
    <w:multiLevelType w:val="hybridMultilevel"/>
    <w:tmpl w:val="528AF062"/>
    <w:lvl w:ilvl="0" w:tplc="D272130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A2225E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001FF2"/>
    <w:multiLevelType w:val="hybridMultilevel"/>
    <w:tmpl w:val="B0320284"/>
    <w:lvl w:ilvl="0" w:tplc="E8E407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23509D"/>
    <w:multiLevelType w:val="hybridMultilevel"/>
    <w:tmpl w:val="D2383DB0"/>
    <w:lvl w:ilvl="0" w:tplc="7B4A699C">
      <w:start w:val="3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8B6103"/>
    <w:multiLevelType w:val="hybridMultilevel"/>
    <w:tmpl w:val="B3D0E2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B2C677E">
      <w:start w:val="1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0" w15:restartNumberingAfterBreak="0">
    <w:nsid w:val="783F5DAC"/>
    <w:multiLevelType w:val="hybridMultilevel"/>
    <w:tmpl w:val="BA609456"/>
    <w:lvl w:ilvl="0" w:tplc="D0CE0644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1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8C166CA"/>
    <w:multiLevelType w:val="hybridMultilevel"/>
    <w:tmpl w:val="4D588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AC82323"/>
    <w:multiLevelType w:val="hybridMultilevel"/>
    <w:tmpl w:val="6BC27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9901FC"/>
    <w:multiLevelType w:val="hybridMultilevel"/>
    <w:tmpl w:val="E68AEF30"/>
    <w:lvl w:ilvl="0" w:tplc="C0A89846">
      <w:start w:val="1"/>
      <w:numFmt w:val="lowerLetter"/>
      <w:lvlText w:val="%1)"/>
      <w:lvlJc w:val="left"/>
      <w:pPr>
        <w:ind w:left="1004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48"/>
  </w:num>
  <w:num w:numId="4">
    <w:abstractNumId w:val="38"/>
  </w:num>
  <w:num w:numId="5">
    <w:abstractNumId w:val="28"/>
  </w:num>
  <w:num w:numId="6">
    <w:abstractNumId w:val="22"/>
  </w:num>
  <w:num w:numId="7">
    <w:abstractNumId w:val="73"/>
  </w:num>
  <w:num w:numId="8">
    <w:abstractNumId w:val="47"/>
  </w:num>
  <w:num w:numId="9">
    <w:abstractNumId w:val="7"/>
  </w:num>
  <w:num w:numId="10">
    <w:abstractNumId w:val="10"/>
  </w:num>
  <w:num w:numId="11">
    <w:abstractNumId w:val="45"/>
  </w:num>
  <w:num w:numId="12">
    <w:abstractNumId w:val="11"/>
  </w:num>
  <w:num w:numId="13">
    <w:abstractNumId w:val="23"/>
  </w:num>
  <w:num w:numId="14">
    <w:abstractNumId w:val="0"/>
  </w:num>
  <w:num w:numId="15">
    <w:abstractNumId w:val="49"/>
  </w:num>
  <w:num w:numId="16">
    <w:abstractNumId w:val="77"/>
  </w:num>
  <w:num w:numId="17">
    <w:abstractNumId w:val="3"/>
  </w:num>
  <w:num w:numId="18">
    <w:abstractNumId w:val="27"/>
  </w:num>
  <w:num w:numId="19">
    <w:abstractNumId w:val="39"/>
  </w:num>
  <w:num w:numId="20">
    <w:abstractNumId w:val="16"/>
  </w:num>
  <w:num w:numId="21">
    <w:abstractNumId w:val="59"/>
  </w:num>
  <w:num w:numId="22">
    <w:abstractNumId w:val="8"/>
  </w:num>
  <w:num w:numId="23">
    <w:abstractNumId w:val="65"/>
  </w:num>
  <w:num w:numId="24">
    <w:abstractNumId w:val="79"/>
  </w:num>
  <w:num w:numId="25">
    <w:abstractNumId w:val="64"/>
  </w:num>
  <w:num w:numId="26">
    <w:abstractNumId w:val="70"/>
  </w:num>
  <w:num w:numId="27">
    <w:abstractNumId w:val="53"/>
  </w:num>
  <w:num w:numId="28">
    <w:abstractNumId w:val="52"/>
  </w:num>
  <w:num w:numId="29">
    <w:abstractNumId w:val="57"/>
  </w:num>
  <w:num w:numId="30">
    <w:abstractNumId w:val="35"/>
  </w:num>
  <w:num w:numId="31">
    <w:abstractNumId w:val="19"/>
  </w:num>
  <w:num w:numId="32">
    <w:abstractNumId w:val="55"/>
  </w:num>
  <w:num w:numId="33">
    <w:abstractNumId w:val="85"/>
  </w:num>
  <w:num w:numId="34">
    <w:abstractNumId w:val="25"/>
  </w:num>
  <w:num w:numId="35">
    <w:abstractNumId w:val="67"/>
  </w:num>
  <w:num w:numId="36">
    <w:abstractNumId w:val="44"/>
  </w:num>
  <w:num w:numId="37">
    <w:abstractNumId w:val="1"/>
  </w:num>
  <w:num w:numId="38">
    <w:abstractNumId w:val="9"/>
  </w:num>
  <w:num w:numId="39">
    <w:abstractNumId w:val="2"/>
  </w:num>
  <w:num w:numId="40">
    <w:abstractNumId w:val="34"/>
  </w:num>
  <w:num w:numId="41">
    <w:abstractNumId w:val="66"/>
  </w:num>
  <w:num w:numId="42">
    <w:abstractNumId w:val="6"/>
  </w:num>
  <w:num w:numId="43">
    <w:abstractNumId w:val="68"/>
  </w:num>
  <w:num w:numId="44">
    <w:abstractNumId w:val="41"/>
  </w:num>
  <w:num w:numId="45">
    <w:abstractNumId w:val="81"/>
  </w:num>
  <w:num w:numId="46">
    <w:abstractNumId w:val="15"/>
  </w:num>
  <w:num w:numId="47">
    <w:abstractNumId w:val="26"/>
  </w:num>
  <w:num w:numId="48">
    <w:abstractNumId w:val="37"/>
  </w:num>
  <w:num w:numId="49">
    <w:abstractNumId w:val="43"/>
  </w:num>
  <w:num w:numId="50">
    <w:abstractNumId w:val="61"/>
  </w:num>
  <w:num w:numId="51">
    <w:abstractNumId w:val="21"/>
  </w:num>
  <w:num w:numId="52">
    <w:abstractNumId w:val="69"/>
  </w:num>
  <w:num w:numId="53">
    <w:abstractNumId w:val="71"/>
  </w:num>
  <w:num w:numId="54">
    <w:abstractNumId w:val="58"/>
  </w:num>
  <w:num w:numId="55">
    <w:abstractNumId w:val="54"/>
  </w:num>
  <w:num w:numId="56">
    <w:abstractNumId w:val="17"/>
  </w:num>
  <w:num w:numId="57">
    <w:abstractNumId w:val="62"/>
  </w:num>
  <w:num w:numId="58">
    <w:abstractNumId w:val="24"/>
  </w:num>
  <w:num w:numId="59">
    <w:abstractNumId w:val="50"/>
  </w:num>
  <w:num w:numId="60">
    <w:abstractNumId w:val="33"/>
  </w:num>
  <w:num w:numId="61">
    <w:abstractNumId w:val="32"/>
  </w:num>
  <w:num w:numId="62">
    <w:abstractNumId w:val="56"/>
  </w:num>
  <w:num w:numId="63">
    <w:abstractNumId w:val="60"/>
  </w:num>
  <w:num w:numId="64">
    <w:abstractNumId w:val="75"/>
  </w:num>
  <w:num w:numId="65">
    <w:abstractNumId w:val="42"/>
  </w:num>
  <w:num w:numId="66">
    <w:abstractNumId w:val="5"/>
  </w:num>
  <w:num w:numId="67">
    <w:abstractNumId w:val="18"/>
  </w:num>
  <w:num w:numId="68">
    <w:abstractNumId w:val="36"/>
  </w:num>
  <w:num w:numId="69">
    <w:abstractNumId w:val="72"/>
  </w:num>
  <w:num w:numId="70">
    <w:abstractNumId w:val="83"/>
  </w:num>
  <w:num w:numId="71">
    <w:abstractNumId w:val="78"/>
  </w:num>
  <w:num w:numId="72">
    <w:abstractNumId w:val="46"/>
  </w:num>
  <w:num w:numId="73">
    <w:abstractNumId w:val="29"/>
  </w:num>
  <w:num w:numId="74">
    <w:abstractNumId w:val="14"/>
  </w:num>
  <w:num w:numId="75">
    <w:abstractNumId w:val="76"/>
  </w:num>
  <w:num w:numId="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3"/>
  </w:num>
  <w:num w:numId="78">
    <w:abstractNumId w:val="84"/>
  </w:num>
  <w:num w:numId="79">
    <w:abstractNumId w:val="12"/>
  </w:num>
  <w:num w:numId="80">
    <w:abstractNumId w:val="40"/>
  </w:num>
  <w:num w:numId="8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"/>
  </w:num>
  <w:num w:numId="83">
    <w:abstractNumId w:val="82"/>
  </w:num>
  <w:num w:numId="84">
    <w:abstractNumId w:val="74"/>
  </w:num>
  <w:num w:numId="85">
    <w:abstractNumId w:val="63"/>
  </w:num>
  <w:num w:numId="86">
    <w:abstractNumId w:val="31"/>
  </w:num>
  <w:num w:numId="87">
    <w:abstractNumId w:val="8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CE"/>
    <w:rsid w:val="00022900"/>
    <w:rsid w:val="00024C7C"/>
    <w:rsid w:val="00025ED4"/>
    <w:rsid w:val="0002644C"/>
    <w:rsid w:val="00027010"/>
    <w:rsid w:val="000364FB"/>
    <w:rsid w:val="00036B49"/>
    <w:rsid w:val="00042A33"/>
    <w:rsid w:val="0004744D"/>
    <w:rsid w:val="00051E3C"/>
    <w:rsid w:val="00061260"/>
    <w:rsid w:val="00066CD7"/>
    <w:rsid w:val="000674BB"/>
    <w:rsid w:val="00073ABD"/>
    <w:rsid w:val="00074516"/>
    <w:rsid w:val="00077943"/>
    <w:rsid w:val="000902CC"/>
    <w:rsid w:val="00091E84"/>
    <w:rsid w:val="00093C4F"/>
    <w:rsid w:val="0009528A"/>
    <w:rsid w:val="000965CD"/>
    <w:rsid w:val="00096695"/>
    <w:rsid w:val="00096DC6"/>
    <w:rsid w:val="000A688D"/>
    <w:rsid w:val="000B02D5"/>
    <w:rsid w:val="000B2C9E"/>
    <w:rsid w:val="000B582C"/>
    <w:rsid w:val="000C064F"/>
    <w:rsid w:val="000C0903"/>
    <w:rsid w:val="000C2390"/>
    <w:rsid w:val="000C7A5E"/>
    <w:rsid w:val="000D0801"/>
    <w:rsid w:val="000E2DB0"/>
    <w:rsid w:val="000F4F44"/>
    <w:rsid w:val="000F7602"/>
    <w:rsid w:val="00101E07"/>
    <w:rsid w:val="00110495"/>
    <w:rsid w:val="00110B82"/>
    <w:rsid w:val="00116F94"/>
    <w:rsid w:val="00120E5E"/>
    <w:rsid w:val="00121E9B"/>
    <w:rsid w:val="0013061B"/>
    <w:rsid w:val="00131649"/>
    <w:rsid w:val="0013196E"/>
    <w:rsid w:val="001322FA"/>
    <w:rsid w:val="00132B4A"/>
    <w:rsid w:val="00143ACF"/>
    <w:rsid w:val="00143E3A"/>
    <w:rsid w:val="00152E63"/>
    <w:rsid w:val="00152F4D"/>
    <w:rsid w:val="001536BA"/>
    <w:rsid w:val="00154A15"/>
    <w:rsid w:val="00157E3E"/>
    <w:rsid w:val="001661D1"/>
    <w:rsid w:val="00170028"/>
    <w:rsid w:val="00171809"/>
    <w:rsid w:val="00173414"/>
    <w:rsid w:val="00180669"/>
    <w:rsid w:val="001807F9"/>
    <w:rsid w:val="00181050"/>
    <w:rsid w:val="00183D73"/>
    <w:rsid w:val="00183E46"/>
    <w:rsid w:val="001847D9"/>
    <w:rsid w:val="00195D3D"/>
    <w:rsid w:val="001C1134"/>
    <w:rsid w:val="001C7285"/>
    <w:rsid w:val="001D0926"/>
    <w:rsid w:val="001E0EC5"/>
    <w:rsid w:val="001E4D76"/>
    <w:rsid w:val="001E637A"/>
    <w:rsid w:val="001E6F6D"/>
    <w:rsid w:val="001F336A"/>
    <w:rsid w:val="002022CF"/>
    <w:rsid w:val="00215425"/>
    <w:rsid w:val="00220221"/>
    <w:rsid w:val="0022528A"/>
    <w:rsid w:val="00233B8D"/>
    <w:rsid w:val="00234635"/>
    <w:rsid w:val="0024444B"/>
    <w:rsid w:val="00254CB7"/>
    <w:rsid w:val="00266E0F"/>
    <w:rsid w:val="00277E00"/>
    <w:rsid w:val="00280BFA"/>
    <w:rsid w:val="00294005"/>
    <w:rsid w:val="002A37CD"/>
    <w:rsid w:val="002C3317"/>
    <w:rsid w:val="002D04A4"/>
    <w:rsid w:val="002D2B72"/>
    <w:rsid w:val="002D518A"/>
    <w:rsid w:val="002E2B9D"/>
    <w:rsid w:val="002F18FF"/>
    <w:rsid w:val="002F5490"/>
    <w:rsid w:val="003201A9"/>
    <w:rsid w:val="00331DE8"/>
    <w:rsid w:val="00333DA6"/>
    <w:rsid w:val="00334C53"/>
    <w:rsid w:val="00337CF0"/>
    <w:rsid w:val="00340067"/>
    <w:rsid w:val="0036245D"/>
    <w:rsid w:val="00367965"/>
    <w:rsid w:val="003722AB"/>
    <w:rsid w:val="00377FCD"/>
    <w:rsid w:val="0038456D"/>
    <w:rsid w:val="0038496C"/>
    <w:rsid w:val="00385D14"/>
    <w:rsid w:val="0039166E"/>
    <w:rsid w:val="003B3CCC"/>
    <w:rsid w:val="003C197D"/>
    <w:rsid w:val="003C7535"/>
    <w:rsid w:val="003D5CED"/>
    <w:rsid w:val="003F3846"/>
    <w:rsid w:val="00402A91"/>
    <w:rsid w:val="0040356C"/>
    <w:rsid w:val="00405DF1"/>
    <w:rsid w:val="00407DB2"/>
    <w:rsid w:val="00426EA7"/>
    <w:rsid w:val="00435FE7"/>
    <w:rsid w:val="00437319"/>
    <w:rsid w:val="004540E8"/>
    <w:rsid w:val="004563EF"/>
    <w:rsid w:val="0048063E"/>
    <w:rsid w:val="00483DDC"/>
    <w:rsid w:val="004B0A03"/>
    <w:rsid w:val="004C3682"/>
    <w:rsid w:val="004D41A0"/>
    <w:rsid w:val="004E67A1"/>
    <w:rsid w:val="004F2C0D"/>
    <w:rsid w:val="004F326C"/>
    <w:rsid w:val="004F381B"/>
    <w:rsid w:val="004F4970"/>
    <w:rsid w:val="004F5222"/>
    <w:rsid w:val="00515250"/>
    <w:rsid w:val="005167D5"/>
    <w:rsid w:val="00517E07"/>
    <w:rsid w:val="00530A66"/>
    <w:rsid w:val="00530DC3"/>
    <w:rsid w:val="00534825"/>
    <w:rsid w:val="00543D16"/>
    <w:rsid w:val="00563385"/>
    <w:rsid w:val="005663ED"/>
    <w:rsid w:val="00566B1C"/>
    <w:rsid w:val="005677A7"/>
    <w:rsid w:val="00582FE7"/>
    <w:rsid w:val="00586D20"/>
    <w:rsid w:val="0058797C"/>
    <w:rsid w:val="00587D98"/>
    <w:rsid w:val="00596EE6"/>
    <w:rsid w:val="005A29DE"/>
    <w:rsid w:val="005A2F9C"/>
    <w:rsid w:val="005A3C02"/>
    <w:rsid w:val="005B60D7"/>
    <w:rsid w:val="005D762D"/>
    <w:rsid w:val="005E275E"/>
    <w:rsid w:val="005E68C8"/>
    <w:rsid w:val="005E7525"/>
    <w:rsid w:val="005E7FB0"/>
    <w:rsid w:val="005F0BBF"/>
    <w:rsid w:val="0060504B"/>
    <w:rsid w:val="0060722E"/>
    <w:rsid w:val="00610FBE"/>
    <w:rsid w:val="00616289"/>
    <w:rsid w:val="006205CE"/>
    <w:rsid w:val="006211EB"/>
    <w:rsid w:val="006303F0"/>
    <w:rsid w:val="0063332C"/>
    <w:rsid w:val="006334D1"/>
    <w:rsid w:val="00633766"/>
    <w:rsid w:val="00657344"/>
    <w:rsid w:val="006914A9"/>
    <w:rsid w:val="00694FDA"/>
    <w:rsid w:val="0069515C"/>
    <w:rsid w:val="006A656F"/>
    <w:rsid w:val="006B49A2"/>
    <w:rsid w:val="006B6D5E"/>
    <w:rsid w:val="006B7D05"/>
    <w:rsid w:val="006C39FE"/>
    <w:rsid w:val="006C5F2D"/>
    <w:rsid w:val="006C62C9"/>
    <w:rsid w:val="006D27EC"/>
    <w:rsid w:val="006D69BB"/>
    <w:rsid w:val="006E0096"/>
    <w:rsid w:val="006E1006"/>
    <w:rsid w:val="006E20C3"/>
    <w:rsid w:val="006F32E4"/>
    <w:rsid w:val="006F5C69"/>
    <w:rsid w:val="006F717F"/>
    <w:rsid w:val="00731FC7"/>
    <w:rsid w:val="00744D3C"/>
    <w:rsid w:val="0075174C"/>
    <w:rsid w:val="00751C0F"/>
    <w:rsid w:val="00751E5D"/>
    <w:rsid w:val="00760A1A"/>
    <w:rsid w:val="00775B17"/>
    <w:rsid w:val="00782BFA"/>
    <w:rsid w:val="00785B93"/>
    <w:rsid w:val="0078782A"/>
    <w:rsid w:val="00794843"/>
    <w:rsid w:val="007A3C9B"/>
    <w:rsid w:val="007A75FF"/>
    <w:rsid w:val="007B0FE9"/>
    <w:rsid w:val="007B6A4D"/>
    <w:rsid w:val="007C2B0C"/>
    <w:rsid w:val="007C4C49"/>
    <w:rsid w:val="007C586D"/>
    <w:rsid w:val="007C70C2"/>
    <w:rsid w:val="007D042F"/>
    <w:rsid w:val="007D2A7C"/>
    <w:rsid w:val="007D4AC3"/>
    <w:rsid w:val="007E033E"/>
    <w:rsid w:val="007F165C"/>
    <w:rsid w:val="007F27B8"/>
    <w:rsid w:val="008016CD"/>
    <w:rsid w:val="0081009F"/>
    <w:rsid w:val="008122D4"/>
    <w:rsid w:val="00812AA9"/>
    <w:rsid w:val="0082348A"/>
    <w:rsid w:val="0082392B"/>
    <w:rsid w:val="00840E94"/>
    <w:rsid w:val="00841E25"/>
    <w:rsid w:val="00846702"/>
    <w:rsid w:val="00850710"/>
    <w:rsid w:val="008564C7"/>
    <w:rsid w:val="0086617F"/>
    <w:rsid w:val="008822EB"/>
    <w:rsid w:val="00885F6F"/>
    <w:rsid w:val="0089189A"/>
    <w:rsid w:val="008A1FE5"/>
    <w:rsid w:val="008B55CD"/>
    <w:rsid w:val="008C311A"/>
    <w:rsid w:val="008C3E76"/>
    <w:rsid w:val="008D6E80"/>
    <w:rsid w:val="008D7034"/>
    <w:rsid w:val="009000E0"/>
    <w:rsid w:val="009020CF"/>
    <w:rsid w:val="00903BA3"/>
    <w:rsid w:val="00906A52"/>
    <w:rsid w:val="00910F88"/>
    <w:rsid w:val="00912F51"/>
    <w:rsid w:val="00915A8F"/>
    <w:rsid w:val="00921959"/>
    <w:rsid w:val="0093223A"/>
    <w:rsid w:val="00936A0D"/>
    <w:rsid w:val="00940433"/>
    <w:rsid w:val="009461E7"/>
    <w:rsid w:val="00956EC3"/>
    <w:rsid w:val="0096225E"/>
    <w:rsid w:val="00963630"/>
    <w:rsid w:val="009650A7"/>
    <w:rsid w:val="0096695E"/>
    <w:rsid w:val="009A1E29"/>
    <w:rsid w:val="009B49BB"/>
    <w:rsid w:val="009C1AFA"/>
    <w:rsid w:val="009C5FC1"/>
    <w:rsid w:val="009C737C"/>
    <w:rsid w:val="009D1D24"/>
    <w:rsid w:val="009D2934"/>
    <w:rsid w:val="009E0C69"/>
    <w:rsid w:val="009E220C"/>
    <w:rsid w:val="009E7960"/>
    <w:rsid w:val="009F2CB4"/>
    <w:rsid w:val="009F374B"/>
    <w:rsid w:val="00A02516"/>
    <w:rsid w:val="00A12FC2"/>
    <w:rsid w:val="00A15B5F"/>
    <w:rsid w:val="00A2563F"/>
    <w:rsid w:val="00A41681"/>
    <w:rsid w:val="00A51DE3"/>
    <w:rsid w:val="00A54126"/>
    <w:rsid w:val="00A72F74"/>
    <w:rsid w:val="00A74A0B"/>
    <w:rsid w:val="00A83EAD"/>
    <w:rsid w:val="00AA173C"/>
    <w:rsid w:val="00AA5203"/>
    <w:rsid w:val="00AA77F6"/>
    <w:rsid w:val="00AC25A6"/>
    <w:rsid w:val="00AD425F"/>
    <w:rsid w:val="00AE4DE4"/>
    <w:rsid w:val="00AE4E4D"/>
    <w:rsid w:val="00AE6604"/>
    <w:rsid w:val="00B07001"/>
    <w:rsid w:val="00B216FB"/>
    <w:rsid w:val="00B24106"/>
    <w:rsid w:val="00B33F60"/>
    <w:rsid w:val="00B3557D"/>
    <w:rsid w:val="00B37FFE"/>
    <w:rsid w:val="00B45A94"/>
    <w:rsid w:val="00B56E3F"/>
    <w:rsid w:val="00B63AD4"/>
    <w:rsid w:val="00B64E61"/>
    <w:rsid w:val="00B6606D"/>
    <w:rsid w:val="00B66241"/>
    <w:rsid w:val="00B6733E"/>
    <w:rsid w:val="00B6747A"/>
    <w:rsid w:val="00B7730E"/>
    <w:rsid w:val="00B84372"/>
    <w:rsid w:val="00B8566C"/>
    <w:rsid w:val="00B859E5"/>
    <w:rsid w:val="00B8780A"/>
    <w:rsid w:val="00BA4C54"/>
    <w:rsid w:val="00BB7497"/>
    <w:rsid w:val="00BC54E5"/>
    <w:rsid w:val="00BC61E0"/>
    <w:rsid w:val="00BD247E"/>
    <w:rsid w:val="00BD4E2C"/>
    <w:rsid w:val="00BF702A"/>
    <w:rsid w:val="00C11AF9"/>
    <w:rsid w:val="00C16959"/>
    <w:rsid w:val="00C213C2"/>
    <w:rsid w:val="00C30099"/>
    <w:rsid w:val="00C32B63"/>
    <w:rsid w:val="00C33D1A"/>
    <w:rsid w:val="00C44479"/>
    <w:rsid w:val="00C52729"/>
    <w:rsid w:val="00C80602"/>
    <w:rsid w:val="00C80C3E"/>
    <w:rsid w:val="00C8244E"/>
    <w:rsid w:val="00C90C93"/>
    <w:rsid w:val="00C914AE"/>
    <w:rsid w:val="00CA0F97"/>
    <w:rsid w:val="00CB01C4"/>
    <w:rsid w:val="00CB1C5F"/>
    <w:rsid w:val="00CB4217"/>
    <w:rsid w:val="00CC670A"/>
    <w:rsid w:val="00CD0F87"/>
    <w:rsid w:val="00CE13E3"/>
    <w:rsid w:val="00CE49AA"/>
    <w:rsid w:val="00CE72CE"/>
    <w:rsid w:val="00CE782A"/>
    <w:rsid w:val="00CF461F"/>
    <w:rsid w:val="00CF6CD0"/>
    <w:rsid w:val="00CF7D70"/>
    <w:rsid w:val="00D24F38"/>
    <w:rsid w:val="00D2601E"/>
    <w:rsid w:val="00D5769C"/>
    <w:rsid w:val="00D670EA"/>
    <w:rsid w:val="00D845E9"/>
    <w:rsid w:val="00D90D4C"/>
    <w:rsid w:val="00D9198B"/>
    <w:rsid w:val="00D93E89"/>
    <w:rsid w:val="00DD064E"/>
    <w:rsid w:val="00DD28A0"/>
    <w:rsid w:val="00DD2E6B"/>
    <w:rsid w:val="00DE2BEC"/>
    <w:rsid w:val="00DF7838"/>
    <w:rsid w:val="00DF7DA1"/>
    <w:rsid w:val="00E11EE6"/>
    <w:rsid w:val="00E168D3"/>
    <w:rsid w:val="00E2271E"/>
    <w:rsid w:val="00E24A5F"/>
    <w:rsid w:val="00E3211C"/>
    <w:rsid w:val="00E34248"/>
    <w:rsid w:val="00E34D97"/>
    <w:rsid w:val="00E517BA"/>
    <w:rsid w:val="00E5341E"/>
    <w:rsid w:val="00E53B51"/>
    <w:rsid w:val="00E5622C"/>
    <w:rsid w:val="00E566F8"/>
    <w:rsid w:val="00E56C20"/>
    <w:rsid w:val="00E573F4"/>
    <w:rsid w:val="00E7375A"/>
    <w:rsid w:val="00EA2210"/>
    <w:rsid w:val="00EA46CB"/>
    <w:rsid w:val="00EA5481"/>
    <w:rsid w:val="00EB7359"/>
    <w:rsid w:val="00EC0F5F"/>
    <w:rsid w:val="00EE37A9"/>
    <w:rsid w:val="00EF5D1F"/>
    <w:rsid w:val="00F01B04"/>
    <w:rsid w:val="00F10F55"/>
    <w:rsid w:val="00F134DD"/>
    <w:rsid w:val="00F15255"/>
    <w:rsid w:val="00F17BDF"/>
    <w:rsid w:val="00F20E82"/>
    <w:rsid w:val="00F23EF5"/>
    <w:rsid w:val="00F36E20"/>
    <w:rsid w:val="00F4344E"/>
    <w:rsid w:val="00F45E9C"/>
    <w:rsid w:val="00F46112"/>
    <w:rsid w:val="00F4717C"/>
    <w:rsid w:val="00F50F73"/>
    <w:rsid w:val="00F663B3"/>
    <w:rsid w:val="00F672C9"/>
    <w:rsid w:val="00F7307C"/>
    <w:rsid w:val="00F73696"/>
    <w:rsid w:val="00F810DF"/>
    <w:rsid w:val="00F814D5"/>
    <w:rsid w:val="00F91B97"/>
    <w:rsid w:val="00F94B87"/>
    <w:rsid w:val="00F96E5C"/>
    <w:rsid w:val="00FB2521"/>
    <w:rsid w:val="00FB3F9E"/>
    <w:rsid w:val="00FC19F3"/>
    <w:rsid w:val="00FD6FBE"/>
    <w:rsid w:val="00FE3C32"/>
    <w:rsid w:val="00FE6F48"/>
    <w:rsid w:val="00FE72A8"/>
    <w:rsid w:val="00FF2ABC"/>
    <w:rsid w:val="00FF39AA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A21B"/>
  <w15:chartTrackingRefBased/>
  <w15:docId w15:val="{8FE5D2AC-3B7F-4414-A8BC-5981816D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2C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2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2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2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2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2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2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2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CE72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2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2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2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2CE"/>
    <w:rPr>
      <w:color w:val="0563C1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CE72CE"/>
    <w:rPr>
      <w:kern w:val="0"/>
      <w:sz w:val="20"/>
      <w:szCs w:val="20"/>
      <w14:ligatures w14:val="none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CE72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CE72CE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CE72CE"/>
    <w:rPr>
      <w:rFonts w:ascii="Arial" w:hAnsi="Arial" w:cs="Times New Roman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CE72C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2CE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72C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E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CE"/>
    <w:rPr>
      <w:kern w:val="0"/>
      <w:sz w:val="22"/>
      <w:szCs w:val="22"/>
      <w14:ligatures w14:val="none"/>
    </w:rPr>
  </w:style>
  <w:style w:type="paragraph" w:styleId="Bezodstpw">
    <w:name w:val="No Spacing"/>
    <w:uiPriority w:val="99"/>
    <w:qFormat/>
    <w:rsid w:val="00CE72CE"/>
    <w:pPr>
      <w:spacing w:before="100" w:after="0" w:line="240" w:lineRule="auto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2CE"/>
    <w:rPr>
      <w:b/>
      <w:bCs/>
      <w:kern w:val="0"/>
      <w:sz w:val="20"/>
      <w:szCs w:val="20"/>
      <w14:ligatures w14:val="none"/>
    </w:rPr>
  </w:style>
  <w:style w:type="paragraph" w:styleId="Nagwekspisutreci">
    <w:name w:val="TOC Heading"/>
    <w:basedOn w:val="Normalny"/>
    <w:next w:val="Normalny"/>
    <w:link w:val="NagwekspisutreciZnak"/>
    <w:uiPriority w:val="39"/>
    <w:unhideWhenUsed/>
    <w:qFormat/>
    <w:rsid w:val="00610FBE"/>
    <w:pPr>
      <w:widowControl w:val="0"/>
      <w:numPr>
        <w:numId w:val="63"/>
      </w:numPr>
      <w:spacing w:after="0" w:line="360" w:lineRule="auto"/>
      <w:contextualSpacing/>
    </w:pPr>
    <w:rPr>
      <w:rFonts w:ascii="Arial" w:hAnsi="Arial" w:cs="Arial"/>
      <w:b/>
      <w:bCs/>
      <w:color w:val="2E74B5" w:themeColor="accent5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FB2521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72C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E72CE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CE72CE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72CE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Style5">
    <w:name w:val="Style5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CE72CE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CE72CE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CE72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CE72CE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CE72C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CE72CE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CE72CE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2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2C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2CE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E72CE"/>
  </w:style>
  <w:style w:type="paragraph" w:customStyle="1" w:styleId="Default">
    <w:name w:val="Default"/>
    <w:rsid w:val="00CE7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E72CE"/>
    <w:rPr>
      <w:color w:val="954F72" w:themeColor="followedHyperlink"/>
      <w:u w:val="single"/>
    </w:rPr>
  </w:style>
  <w:style w:type="character" w:customStyle="1" w:styleId="highlight">
    <w:name w:val="highlight"/>
    <w:basedOn w:val="Domylnaczcionkaakapitu"/>
    <w:rsid w:val="00CE72CE"/>
  </w:style>
  <w:style w:type="table" w:styleId="Tabela-Siatka">
    <w:name w:val="Table Grid"/>
    <w:basedOn w:val="Standardowy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E72C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72C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E72CE"/>
  </w:style>
  <w:style w:type="paragraph" w:customStyle="1" w:styleId="oj-doc-ti">
    <w:name w:val="oj-doc-ti"/>
    <w:basedOn w:val="Normalny"/>
    <w:rsid w:val="00CE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2CE"/>
    <w:rPr>
      <w:b/>
      <w:bCs/>
    </w:rPr>
  </w:style>
  <w:style w:type="character" w:customStyle="1" w:styleId="TekstkomentarzaZnak2">
    <w:name w:val="Tekst komentarza Znak2"/>
    <w:uiPriority w:val="99"/>
    <w:locked/>
    <w:rsid w:val="00CE72CE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CE72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72CE"/>
    <w:rPr>
      <w:kern w:val="0"/>
      <w:sz w:val="22"/>
      <w:szCs w:val="22"/>
      <w14:ligatures w14:val="non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CE72CE"/>
  </w:style>
  <w:style w:type="paragraph" w:customStyle="1" w:styleId="FootnoteReference1">
    <w:name w:val="Footnote Reference1"/>
    <w:basedOn w:val="Normalny"/>
    <w:link w:val="Odwoanieprzypisudolnego"/>
    <w:rsid w:val="00CE72CE"/>
    <w:pPr>
      <w:spacing w:before="120" w:after="120" w:line="240" w:lineRule="exact"/>
      <w:ind w:firstLine="567"/>
      <w:jc w:val="both"/>
    </w:pPr>
    <w:rPr>
      <w:rFonts w:ascii="Arial" w:hAnsi="Arial" w:cs="Times New Roman"/>
      <w:kern w:val="2"/>
      <w:sz w:val="16"/>
      <w:szCs w:val="24"/>
      <w:vertAlign w:val="superscript"/>
      <w14:ligatures w14:val="standardContextual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CE72CE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198B"/>
    <w:rPr>
      <w:color w:val="605E5C"/>
      <w:shd w:val="clear" w:color="auto" w:fill="E1DFDD"/>
    </w:rPr>
  </w:style>
  <w:style w:type="paragraph" w:customStyle="1" w:styleId="1Nagwek">
    <w:name w:val="1. Nagłówek"/>
    <w:basedOn w:val="Nagwekspisutreci"/>
    <w:link w:val="1NagwekZnak"/>
    <w:qFormat/>
    <w:rsid w:val="00132B4A"/>
    <w:pPr>
      <w:ind w:left="385" w:hanging="357"/>
      <w:outlineLvl w:val="0"/>
    </w:pPr>
  </w:style>
  <w:style w:type="character" w:customStyle="1" w:styleId="NagwekspisutreciZnak">
    <w:name w:val="Nagłówek spisu treści Znak"/>
    <w:basedOn w:val="Nagwek1Znak"/>
    <w:link w:val="Nagwekspisutreci"/>
    <w:uiPriority w:val="39"/>
    <w:rsid w:val="00610FBE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  <w:style w:type="character" w:customStyle="1" w:styleId="1NagwekZnak">
    <w:name w:val="1. Nagłówek Znak"/>
    <w:basedOn w:val="NagwekspisutreciZnak"/>
    <w:link w:val="1Nagwek"/>
    <w:rsid w:val="00132B4A"/>
    <w:rPr>
      <w:rFonts w:ascii="Arial" w:eastAsiaTheme="majorEastAsia" w:hAnsi="Arial" w:cs="Arial"/>
      <w:b/>
      <w:bCs/>
      <w:color w:val="2E74B5" w:themeColor="accent5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http://funduszeUE.wup.lodz.pl" TargetMode="External"/><Relationship Id="rId21" Type="http://schemas.openxmlformats.org/officeDocument/2006/relationships/hyperlink" Target="http://www.funduszeUE.wup.lodz.pl" TargetMode="External"/><Relationship Id="rId34" Type="http://schemas.openxmlformats.org/officeDocument/2006/relationships/hyperlink" Target="https://wuplodz.praca.gov.pl/web/funduszeue/protes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lodzkie.pl" TargetMode="External"/><Relationship Id="rId17" Type="http://schemas.openxmlformats.org/officeDocument/2006/relationships/hyperlink" Target="https://sowa2021.efs.gov.pl/" TargetMode="External"/><Relationship Id="rId25" Type="http://schemas.openxmlformats.org/officeDocument/2006/relationships/hyperlink" Target="http://funduszeue.lodzkie.pl" TargetMode="External"/><Relationship Id="rId33" Type="http://schemas.openxmlformats.org/officeDocument/2006/relationships/hyperlink" Target="http://www.rpo.lodzkie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nerator.sowa@wup.lodz.pl" TargetMode="External"/><Relationship Id="rId20" Type="http://schemas.openxmlformats.org/officeDocument/2006/relationships/hyperlink" Target="http://sowa2021.efs.gov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://funduszeue.lodzkie.pl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unduszeUE.wup.lodz.pl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file:///D:\m.uptas\AppData\Local\Temp\pid-2300\funduszeue.lodzkie.pl\" TargetMode="External"/><Relationship Id="rId36" Type="http://schemas.openxmlformats.org/officeDocument/2006/relationships/hyperlink" Target="http://www.funduszeUE.wup.lodz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abory1@wup.lodz.pl" TargetMode="External"/><Relationship Id="rId22" Type="http://schemas.openxmlformats.org/officeDocument/2006/relationships/hyperlink" Target="mailto:generator.sowa@wup.lodz.pl" TargetMode="External"/><Relationship Id="rId27" Type="http://schemas.openxmlformats.org/officeDocument/2006/relationships/hyperlink" Target="http://www.funduszeeuropejskie.gov.pl" TargetMode="External"/><Relationship Id="rId30" Type="http://schemas.openxmlformats.org/officeDocument/2006/relationships/hyperlink" Target="http://funduszeue.lodzkie.pl" TargetMode="External"/><Relationship Id="rId35" Type="http://schemas.openxmlformats.org/officeDocument/2006/relationships/hyperlink" Target="http://funduszeue.lodzkie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7ADB-F5C2-4D6F-994A-47B77066C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42</Pages>
  <Words>9234</Words>
  <Characters>61141</Characters>
  <Application>Microsoft Office Word</Application>
  <DocSecurity>0</DocSecurity>
  <Lines>1195</Lines>
  <Paragraphs>453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7.4</vt:lpstr>
    </vt:vector>
  </TitlesOfParts>
  <Company/>
  <LinksUpToDate>false</LinksUpToDate>
  <CharactersWithSpaces>70147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7.4</dc:title>
  <dc:subject/>
  <dc:creator/>
  <cp:keywords/>
  <dc:description/>
  <cp:lastModifiedBy>Małgorzata Garstka-Kozłowska</cp:lastModifiedBy>
  <cp:revision>18</cp:revision>
  <cp:lastPrinted>2026-04-21T08:16:00Z</cp:lastPrinted>
  <dcterms:created xsi:type="dcterms:W3CDTF">2026-05-04T11:17:00Z</dcterms:created>
  <dcterms:modified xsi:type="dcterms:W3CDTF">2026-05-06T12:33:00Z</dcterms:modified>
</cp:coreProperties>
</file>