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3F051" w14:textId="77777777"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14:paraId="0FB735CF" w14:textId="77777777"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14:paraId="02980CA3" w14:textId="77777777"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2972CD" w14:textId="77777777" w:rsidR="0031762D" w:rsidRPr="0031762D" w:rsidRDefault="0031762D" w:rsidP="0031762D">
          <w:pPr>
            <w:pStyle w:val="Nagwekspisutreci"/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14:paraId="5A8C41FC" w14:textId="4167159F" w:rsidR="00AD3747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8059078" w:history="1">
            <w:r w:rsidR="00AD3747" w:rsidRPr="00C560FD">
              <w:rPr>
                <w:rStyle w:val="Hipercze"/>
                <w:noProof/>
              </w:rPr>
              <w:t>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bCs/>
                <w:noProof/>
              </w:rPr>
              <w:t>Wariant I</w:t>
            </w:r>
            <w:r w:rsidR="00AD3747" w:rsidRPr="00C560FD">
              <w:rPr>
                <w:rStyle w:val="Hipercze"/>
                <w:noProof/>
              </w:rPr>
              <w:t>: analiza ekonomiczna projektu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_Toc168059078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51CC40FB" w14:textId="021B073B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79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_Toc168059079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6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3E5AE42" w14:textId="4B7BA953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0" w:history="1">
            <w:r w:rsidR="00AD3747" w:rsidRPr="00C560FD">
              <w:rPr>
                <w:rStyle w:val="Hipercze"/>
                <w:noProof/>
              </w:rPr>
              <w:t>Tabela 1. Analiza kosztów i korzyści (</w:t>
            </w:r>
            <w:r w:rsidR="00AD3747" w:rsidRPr="00C560FD">
              <w:rPr>
                <w:rStyle w:val="Hipercze"/>
                <w:i/>
                <w:iCs/>
                <w:noProof/>
              </w:rPr>
              <w:t>Cost-Benefit Analysis – CBA</w:t>
            </w:r>
            <w:r w:rsidR="00AD3747" w:rsidRPr="00C560FD">
              <w:rPr>
                <w:rStyle w:val="Hipercze"/>
                <w:noProof/>
              </w:rPr>
              <w:t>).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3D5AE1FC" w14:textId="594E1449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1" w:history="1">
            <w:r w:rsidR="00AD3747" w:rsidRPr="00C560FD">
              <w:rPr>
                <w:rStyle w:val="Hipercze"/>
                <w:noProof/>
              </w:rPr>
              <w:t>Tabela 2. Analiza finansowa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9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29C4960" w14:textId="2C7D090E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2" w:history="1">
            <w:r w:rsidR="00AD3747" w:rsidRPr="00C560FD">
              <w:rPr>
                <w:rStyle w:val="Hipercze"/>
                <w:noProof/>
              </w:rPr>
              <w:t>Tabela 3. Uproszczony budżet jednostki samorządu terytorialnego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0B7D6FF" w14:textId="629DBE62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3" w:history="1">
            <w:r w:rsidR="00AD3747" w:rsidRPr="00C560FD">
              <w:rPr>
                <w:rStyle w:val="Hipercze"/>
                <w:noProof/>
              </w:rPr>
              <w:t>Tabela 4. Bilans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7BFB66C" w14:textId="3D243F6A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4" w:history="1">
            <w:r w:rsidR="00AD3747" w:rsidRPr="00C560FD">
              <w:rPr>
                <w:rStyle w:val="Hipercze"/>
                <w:noProof/>
              </w:rPr>
              <w:t>Tabela 5. Rachunek zysków i strat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0C63982" w14:textId="4A43A7CC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5" w:history="1">
            <w:r w:rsidR="00AD3747" w:rsidRPr="00C560FD">
              <w:rPr>
                <w:rStyle w:val="Hipercze"/>
                <w:noProof/>
              </w:rPr>
              <w:t>Tabela 6. Rachunek przepływów pieniężnych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15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F98F5C2" w14:textId="1B1F3D85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6" w:history="1">
            <w:r w:rsidR="00AD3747" w:rsidRPr="00C560FD">
              <w:rPr>
                <w:rStyle w:val="Hipercze"/>
                <w:noProof/>
              </w:rPr>
              <w:t>Tabela 7. Analiza wskaźnikowa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_Toc168059086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5A1902E5" w14:textId="352F2678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7" w:history="1">
            <w:r w:rsidR="00AD3747" w:rsidRPr="00C560FD">
              <w:rPr>
                <w:rStyle w:val="Hipercze"/>
                <w:noProof/>
              </w:rPr>
              <w:t>Tabela 8. Bilans uproszczony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_Toc168059087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C90E8EE" w14:textId="2276F7A0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8" w:history="1">
            <w:r w:rsidR="00AD3747" w:rsidRPr="00C560FD">
              <w:rPr>
                <w:rStyle w:val="Hipercze"/>
                <w:noProof/>
              </w:rPr>
              <w:t>Tabela 9. Rachunek zysków i strat uproszczony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E44AEDB" w14:textId="2A1B4237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9" w:history="1">
            <w:r w:rsidR="00AD3747" w:rsidRPr="00C560FD">
              <w:rPr>
                <w:rStyle w:val="Hipercze"/>
                <w:noProof/>
              </w:rPr>
              <w:t>Tabela 10. Analiza wskaźnikowa uproszczona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1BF4CA79" w14:textId="4F9C805C" w:rsidR="00AD3747" w:rsidRDefault="00807D57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68059090" w:history="1">
            <w:r w:rsidR="00AD3747" w:rsidRPr="00C560FD">
              <w:rPr>
                <w:rStyle w:val="Hipercze"/>
                <w:noProof/>
              </w:rPr>
              <w:t>II.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noProof/>
              </w:rPr>
              <w:t>Wariant II: ocena ekonomiczno-finansowa przedsiębiorcy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20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19083F4E" w14:textId="2BE29C0A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1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C71416A" w14:textId="17585757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2" w:history="1">
            <w:r w:rsidR="00AD3747" w:rsidRPr="00C560FD">
              <w:rPr>
                <w:rStyle w:val="Hipercze"/>
                <w:noProof/>
              </w:rPr>
              <w:t>Tabela 1. Bilans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FE7748C" w14:textId="3C98326E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3" w:history="1">
            <w:r w:rsidR="00AD3747" w:rsidRPr="00C560FD">
              <w:rPr>
                <w:rStyle w:val="Hipercze"/>
                <w:noProof/>
              </w:rPr>
              <w:t>Tabela 2. Rachunek zysków i strat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D6EEE34" w14:textId="428B2010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4" w:history="1">
            <w:r w:rsidR="00AD3747" w:rsidRPr="00C560FD">
              <w:rPr>
                <w:rStyle w:val="Hipercze"/>
                <w:noProof/>
              </w:rPr>
              <w:t>Tabela 3. Rachunek przepływów pieniężnych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25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3B54ECF" w14:textId="751ADDA9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5" w:history="1">
            <w:r w:rsidR="00AD3747" w:rsidRPr="00C560FD">
              <w:rPr>
                <w:rStyle w:val="Hipercze"/>
                <w:noProof/>
              </w:rPr>
              <w:t>Tabela 4. Analiza wskaźnikowa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D9D0FDF" w14:textId="605EC1C3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6" w:history="1">
            <w:r w:rsidR="00AD3747" w:rsidRPr="00C560FD">
              <w:rPr>
                <w:rStyle w:val="Hipercze"/>
                <w:noProof/>
              </w:rPr>
              <w:t>Tabela 5. Bilans uproszczony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_Toc168059096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D76D274" w14:textId="03D1ECFD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7" w:history="1">
            <w:r w:rsidR="00AD3747" w:rsidRPr="00C560FD">
              <w:rPr>
                <w:rStyle w:val="Hipercze"/>
                <w:noProof/>
              </w:rPr>
              <w:t>Tabela 6. Rachunek zysków i strat uproszczony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_Toc168059097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2746A1C" w14:textId="78B12990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8" w:history="1">
            <w:r w:rsidR="00AD3747" w:rsidRPr="00C560FD">
              <w:rPr>
                <w:rStyle w:val="Hipercze"/>
                <w:noProof/>
              </w:rPr>
              <w:t>Tabela 7. Analiza wskaźnikowa uproszczona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29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7176FF6" w14:textId="22F51E3B" w:rsidR="00AD3747" w:rsidRDefault="00807D57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68059099" w:history="1">
            <w:r w:rsidR="00AD3747" w:rsidRPr="00C560FD">
              <w:rPr>
                <w:rStyle w:val="Hipercze"/>
                <w:noProof/>
              </w:rPr>
              <w:t>III.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bCs/>
                <w:noProof/>
              </w:rPr>
              <w:t>Wariant III</w:t>
            </w:r>
            <w:r w:rsidR="00AD3747" w:rsidRPr="00C560FD">
              <w:rPr>
                <w:rStyle w:val="Hipercze"/>
                <w:noProof/>
              </w:rPr>
              <w:t>: ocena ekonomiczno-finansowa przedsiębiorstw,  w których większościowym udziałowcem/akcjonariuszem jest podmiot publiczny i które otrzymują  subwencję/rekompensatę ze środków publicznych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30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92F2EA0" w14:textId="570AE034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0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21C6612" w14:textId="570095E1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1" w:history="1">
            <w:r w:rsidR="00AD3747" w:rsidRPr="00C560FD">
              <w:rPr>
                <w:rStyle w:val="Hipercze"/>
                <w:noProof/>
              </w:rPr>
              <w:t>Tabela 1. Bilans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33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684B859" w14:textId="13FE4408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2" w:history="1">
            <w:r w:rsidR="00AD3747" w:rsidRPr="00C560FD">
              <w:rPr>
                <w:rStyle w:val="Hipercze"/>
                <w:noProof/>
              </w:rPr>
              <w:t>Tabela 2. Rachunek zysków i strat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CA11941" w14:textId="0A77242F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3" w:history="1">
            <w:r w:rsidR="00AD3747" w:rsidRPr="00C560FD">
              <w:rPr>
                <w:rStyle w:val="Hipercze"/>
                <w:noProof/>
              </w:rPr>
              <w:t>Tabela 3. Rachunek przepływów pieniężnych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36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B52B42B" w14:textId="23AD186E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4" w:history="1">
            <w:r w:rsidR="00AD3747" w:rsidRPr="00C560FD">
              <w:rPr>
                <w:rStyle w:val="Hipercze"/>
                <w:noProof/>
              </w:rPr>
              <w:t>Tabela 4. Analiza wskaźnikowa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ED6C2A5" w14:textId="094056DB" w:rsidR="00AD3747" w:rsidRDefault="00807D5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5" w:history="1">
            <w:r w:rsidR="00AD3747" w:rsidRPr="00C560FD">
              <w:rPr>
                <w:rStyle w:val="Hipercze"/>
                <w:noProof/>
              </w:rPr>
              <w:t>Tabela 5. Wyliczenie rekompensaty.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1AC6971" w14:textId="7FF5F281"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7AA0F7B" w14:textId="6AF9CC27" w:rsidR="00640E35" w:rsidRPr="00AD3747" w:rsidRDefault="00BB531F" w:rsidP="00AD3747">
      <w:pPr>
        <w:pStyle w:val="Nagwek1"/>
        <w:ind w:left="502" w:hanging="360"/>
        <w:rPr>
          <w:bCs/>
        </w:rPr>
      </w:pPr>
      <w:r>
        <w:rPr>
          <w:rFonts w:cs="Arial"/>
          <w:i/>
          <w:color w:val="FF0000"/>
          <w:szCs w:val="24"/>
        </w:rPr>
        <w:br w:type="page"/>
      </w:r>
      <w:bookmarkStart w:id="0" w:name="_Toc168059078"/>
      <w:r w:rsidR="00640E35" w:rsidRPr="00640E35">
        <w:rPr>
          <w:bCs/>
        </w:rPr>
        <w:lastRenderedPageBreak/>
        <w:t>Wariant I</w:t>
      </w:r>
      <w:r w:rsidR="00640E35" w:rsidRPr="00AD3747">
        <w:rPr>
          <w:bCs/>
        </w:rPr>
        <w:t>: analiza ekonomiczna projektu</w:t>
      </w:r>
      <w:bookmarkEnd w:id="0"/>
    </w:p>
    <w:p w14:paraId="6220B993" w14:textId="77777777"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14:paraId="1C7C18B7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14:paraId="5FCCF5E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proofErr w:type="spellStart"/>
      <w:r w:rsidRPr="00640E35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640E35">
        <w:rPr>
          <w:rFonts w:ascii="Arial" w:hAnsi="Arial" w:cs="Arial"/>
          <w:i/>
          <w:iCs/>
          <w:sz w:val="24"/>
          <w:szCs w:val="24"/>
        </w:rPr>
        <w:t>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14:paraId="55036FF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14:paraId="7FEA7180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14:paraId="60112C7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14:paraId="0DE4B45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14:paraId="19E65966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14:paraId="35006CF5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14:paraId="6C60B0BE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14:paraId="54695CA3" w14:textId="77777777"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14:paraId="6913BD8B" w14:textId="77777777"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14:paraId="0D716190" w14:textId="77777777"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14:paraId="51B88743" w14:textId="77777777"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14:paraId="2F29E6CA" w14:textId="77777777"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14:paraId="758797DD" w14:textId="77777777"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6DD9FA3C" w14:textId="77777777"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14:paraId="5E61C0D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6730BBDE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53A42ED4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14:paraId="5CA56C88" w14:textId="77777777"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51417E5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589991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666FBF4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14:paraId="07DC8B19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14:paraId="32D0EE30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14:paraId="144E7272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20892C13" w14:textId="77777777"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496C92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653431D6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E68D79B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7240843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14:paraId="7C5DB998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32A5F275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23533E42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14:paraId="4B8835F4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14:paraId="438AB286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</w:t>
      </w:r>
      <w:r w:rsidRPr="00640E35">
        <w:rPr>
          <w:rFonts w:ascii="Arial" w:hAnsi="Arial" w:cs="Arial"/>
          <w:sz w:val="24"/>
          <w:szCs w:val="24"/>
        </w:rPr>
        <w:lastRenderedPageBreak/>
        <w:t>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AEF9333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13EEE12C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4E412010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377DFCD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8D19B15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C3745C7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B245" w14:textId="77777777" w:rsidR="00640E35" w:rsidRPr="00640E35" w:rsidRDefault="00640E35" w:rsidP="005434C6">
      <w:pPr>
        <w:pStyle w:val="Nagwek2"/>
      </w:pPr>
      <w:bookmarkStart w:id="1" w:name="_Toc168059079"/>
      <w:r w:rsidRPr="00B86656">
        <w:t>Informacje</w:t>
      </w:r>
      <w:r w:rsidRPr="00640E35">
        <w:t xml:space="preserve"> podstawowe.</w:t>
      </w:r>
      <w:bookmarkEnd w:id="1"/>
    </w:p>
    <w:p w14:paraId="5DCFC5C6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6E32C6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542C0FD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14:paraId="396968F4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14:paraId="1BEC200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14:paraId="4C964A2B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14:paraId="3CA83D58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14:paraId="1D463E20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14:paraId="2ACA0D58" w14:textId="77777777"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246EB9E5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14:paraId="46DE404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14:paraId="57541B69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14:paraId="50AC798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14:paraId="03BE85CA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14:paraId="3F1F38C6" w14:textId="77777777"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14:paraId="2BD1EC15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14:paraId="2F5AA78A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14:paraId="43DA1EAB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14:paraId="21D74F2E" w14:textId="77777777"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C054F02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52B4DB83" w14:textId="77777777" w:rsidR="00640E35" w:rsidRPr="00694EDD" w:rsidRDefault="00640E35" w:rsidP="005434C6">
      <w:pPr>
        <w:pStyle w:val="Nagwek2"/>
      </w:pPr>
      <w:bookmarkStart w:id="2" w:name="_Toc168059080"/>
      <w:r w:rsidRPr="00694EDD">
        <w:t>Tabela 1. Analiza kosztów i korzyści (</w:t>
      </w:r>
      <w:proofErr w:type="spellStart"/>
      <w:r w:rsidRPr="00694EDD">
        <w:rPr>
          <w:i/>
          <w:iCs/>
        </w:rPr>
        <w:t>Cost</w:t>
      </w:r>
      <w:proofErr w:type="spellEnd"/>
      <w:r w:rsidRPr="00694EDD">
        <w:rPr>
          <w:i/>
          <w:iCs/>
        </w:rPr>
        <w:t>-Benefit Analysis – CBA</w:t>
      </w:r>
      <w:r w:rsidRPr="00694EDD">
        <w:t>)</w:t>
      </w:r>
      <w:r>
        <w:t>.</w:t>
      </w:r>
      <w:bookmarkEnd w:id="2"/>
    </w:p>
    <w:p w14:paraId="7F561DFB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proofErr w:type="spellStart"/>
      <w:r w:rsidRPr="0058644E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58644E">
        <w:rPr>
          <w:rFonts w:ascii="Arial" w:hAnsi="Arial" w:cs="Arial"/>
          <w:i/>
          <w:iCs/>
          <w:sz w:val="24"/>
          <w:szCs w:val="24"/>
        </w:rPr>
        <w:t>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14:paraId="25C92DE1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31F1E8C8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14:paraId="287C048B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14:paraId="38C711B4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14:paraId="47FEEBA0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14:paraId="19A22CAC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14:paraId="7D988A43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14:paraId="5FFD2CFD" w14:textId="77777777" w:rsidR="00640E35" w:rsidRPr="00694EDD" w:rsidRDefault="00640E35" w:rsidP="005434C6">
      <w:pPr>
        <w:pStyle w:val="Nagwek2"/>
      </w:pPr>
      <w:bookmarkStart w:id="3" w:name="_Toc168059081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3"/>
    </w:p>
    <w:p w14:paraId="0EB3E178" w14:textId="77777777"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25DD803A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14:paraId="3D8CFD6C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14:paraId="64E2F598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14:paraId="71F4AE7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14:paraId="52D715A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14:paraId="20668781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18691F8E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13EC4D33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6B5A635C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05A2A55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BAE3AF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14:paraId="76183A2A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14:paraId="1A7C5ED0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04E074A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3C7A5E6D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3D854C72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DD28AE1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5126AEE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14:paraId="5411CE74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4A2A2AD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EBAF0EB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14:paraId="74B94DA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14:paraId="03E4B0D3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14:paraId="7760481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14:paraId="43BBB35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14:paraId="12DAED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14:paraId="73CA1E3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14:paraId="2BF5B3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14:paraId="0C04F28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14:paraId="34D9E86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14:paraId="26B6C2A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14:paraId="4C56D384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14:paraId="39FD4E0A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14:paraId="45A79C5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14:paraId="4A26879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14:paraId="432D2DC2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14:paraId="37414D4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5F3DB86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5DD79EE1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14:paraId="33F713A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28BAA9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1C165114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14:paraId="1F312D88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14:paraId="3CAC75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3F33DAF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4362EF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14:paraId="458F76B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BC9F6B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14:paraId="7E099E3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5207B3D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0C8B35B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14:paraId="53989BED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14:paraId="20A2A2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1A5016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14:paraId="0D7017F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14:paraId="2054211F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14:paraId="56875330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14:paraId="208F49BB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14:paraId="340C56F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5871E96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513BE7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14:paraId="017E3E2A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6323727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61EA9186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14:paraId="7EDDAE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14:paraId="19810E0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14:paraId="0703537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14:paraId="25A6F0C7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14:paraId="106FBA4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14:paraId="2949907B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14:paraId="063886F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14:paraId="419F7C9D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14:paraId="1E7C71AC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14:paraId="272196C6" w14:textId="77777777" w:rsidR="00640E35" w:rsidRPr="00694EDD" w:rsidRDefault="00640E35" w:rsidP="005434C6">
      <w:pPr>
        <w:pStyle w:val="Nagwek2"/>
      </w:pPr>
      <w:bookmarkStart w:id="4" w:name="_Toc168059082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4"/>
    </w:p>
    <w:p w14:paraId="4EA1E1C0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14:paraId="335E68F4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14:paraId="47ED2930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7051FA64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Dochody bieżące – zgodnie ze sprawozdawczością finansową JST,</w:t>
      </w:r>
    </w:p>
    <w:p w14:paraId="13FFB40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14:paraId="53A976E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14:paraId="2744903C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14:paraId="0C5E065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14:paraId="0E272350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14:paraId="0E825B67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14:paraId="39F93FC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14:paraId="2A0FB7F1" w14:textId="77777777"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38105073" w14:textId="77777777" w:rsidR="00640E35" w:rsidRPr="00694EDD" w:rsidRDefault="00640E35" w:rsidP="005434C6">
      <w:pPr>
        <w:pStyle w:val="Nagwek2"/>
      </w:pPr>
      <w:bookmarkStart w:id="5" w:name="_Toc168059083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5"/>
    </w:p>
    <w:p w14:paraId="64EB1295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2934D0EC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14:paraId="6A3FABB3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7AAD42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5F9AE6F7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549B6E0B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69D96D7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54872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576CBC2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17AA21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58A8631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4EEDEE9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18E76450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 tym z tytułu dostaw i usług – należności z tytułu sprzedaży (operacyjnej działalności przedsiębiorstwa/organizacji), zgodnie ze sprawozdaniami finansowymi,</w:t>
      </w:r>
    </w:p>
    <w:p w14:paraId="000006C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1C112FED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5A6867F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7268962A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3155AEA3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3F1973E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4E80A389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80E9C35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238B642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358D661C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0C93206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034E0BC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642658E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E2EB6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512B598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715ED2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6F36CC19" w14:textId="77777777"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2440D55E" w14:textId="77777777" w:rsidR="00640E35" w:rsidRPr="00694EDD" w:rsidRDefault="00640E35" w:rsidP="005434C6">
      <w:pPr>
        <w:pStyle w:val="Nagwek2"/>
      </w:pPr>
      <w:bookmarkStart w:id="6" w:name="_Toc168059084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6"/>
    </w:p>
    <w:p w14:paraId="66463B68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14:paraId="2F61F0D4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14:paraId="5B60CC02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B7F3E25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B7FEDF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14:paraId="05D9762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02975479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02905B4F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770BA5C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14E3264B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6940D23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76CCEF40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036CB4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316DF202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61EA0E8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14:paraId="6B3CBFD6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149870A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727611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7CC534DA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898C8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Koszty finansowe – zgodnie ze sprawozdaniami finansowymi:</w:t>
      </w:r>
    </w:p>
    <w:p w14:paraId="1BE1D2B8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14:paraId="415D99F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3EE93AC7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1480C328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14:paraId="2ACB875C" w14:textId="77777777" w:rsidR="00640E35" w:rsidRPr="00694EDD" w:rsidRDefault="00640E35" w:rsidP="005434C6">
      <w:pPr>
        <w:pStyle w:val="Nagwek2"/>
      </w:pPr>
      <w:bookmarkStart w:id="7" w:name="_Toc168059085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7"/>
    </w:p>
    <w:p w14:paraId="5D14A63E" w14:textId="77777777"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C3A7FD9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14:paraId="6B47942D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14:paraId="340C755D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CFF43BB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14:paraId="47D639B2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0703690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14:paraId="6BE9DE1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14:paraId="05F9356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14:paraId="44818B5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14:paraId="38CBCF9E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14:paraId="7DE8A4A8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6101AD1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14:paraId="1859AF69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43AB0C2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14:paraId="13FD6F0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7C9886D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02794A76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14:paraId="022A437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14:paraId="2A6A3732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47D44E47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14:paraId="36CBD92D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14:paraId="455775F4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14:paraId="4754ECF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14:paraId="20141CC5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3EA0854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14:paraId="2F25310F" w14:textId="77777777"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14:paraId="40D7DE7F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14:paraId="347F8401" w14:textId="77777777"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AF7FA59" w14:textId="77777777" w:rsidR="00640E35" w:rsidRPr="00694EDD" w:rsidRDefault="00640E35" w:rsidP="005434C6">
      <w:pPr>
        <w:pStyle w:val="Nagwek2"/>
      </w:pPr>
      <w:bookmarkStart w:id="8" w:name="_Toc168059086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8"/>
    </w:p>
    <w:p w14:paraId="364BF5F5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14:paraId="1B2798BD" w14:textId="77777777" w:rsidR="00640E35" w:rsidRPr="00694EDD" w:rsidRDefault="00640E35" w:rsidP="005434C6">
      <w:pPr>
        <w:pStyle w:val="Nagwek2"/>
      </w:pPr>
      <w:bookmarkStart w:id="9" w:name="_Toc168059087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9"/>
    </w:p>
    <w:p w14:paraId="591B513E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0808956A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14:paraId="4C58A779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01DADFE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DA8A55F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14:paraId="19DCD48E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14:paraId="47D2FF6B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14:paraId="049D81E0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14:paraId="298C1770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14:paraId="7E6BEBD7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14:paraId="0D43943D" w14:textId="77777777"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14:paraId="749AA8D2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C4B771F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14:paraId="2625E3C3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169F814A" w14:textId="77777777"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14:paraId="002FB85F" w14:textId="77777777"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1C0C8BD" w14:textId="77777777" w:rsidR="00640E35" w:rsidRPr="00694EDD" w:rsidRDefault="00640E35" w:rsidP="005434C6">
      <w:pPr>
        <w:pStyle w:val="Nagwek2"/>
      </w:pPr>
      <w:bookmarkStart w:id="10" w:name="_Toc168059088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0"/>
    </w:p>
    <w:p w14:paraId="1BE1C54B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3F5A8CD0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0FD8D4BE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C6633F3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47E3AA3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0406285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7B46976D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14:paraId="5E2C1A2C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14:paraId="5CF4E146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14:paraId="39732BB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14:paraId="12612443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14:paraId="33B8DFD4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14:paraId="566F986A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14:paraId="1236F087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14:paraId="60B6329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14:paraId="48C00354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14:paraId="094C8F00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5916B28A" w14:textId="77777777" w:rsidR="00640E35" w:rsidRPr="00694EDD" w:rsidRDefault="00640E35" w:rsidP="005434C6">
      <w:pPr>
        <w:pStyle w:val="Nagwek2"/>
      </w:pPr>
      <w:bookmarkStart w:id="11" w:name="_Toc168059089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1"/>
    </w:p>
    <w:p w14:paraId="56CC332B" w14:textId="77777777"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14:paraId="72D3ED0F" w14:textId="77777777"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14:paraId="473A3CA1" w14:textId="77777777"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14:paraId="2034C0C9" w14:textId="77777777" w:rsidR="00F05773" w:rsidRDefault="00F05773" w:rsidP="00F05773">
      <w:pPr>
        <w:pStyle w:val="Nagwek1"/>
      </w:pPr>
      <w:bookmarkStart w:id="12" w:name="_Toc168059090"/>
      <w:r w:rsidRPr="00F05773">
        <w:lastRenderedPageBreak/>
        <w:t>Wariant II: ocena ekonomiczno-finansowa przedsiębiorcy</w:t>
      </w:r>
      <w:bookmarkEnd w:id="12"/>
    </w:p>
    <w:p w14:paraId="22D49FC2" w14:textId="77777777"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14:paraId="5201ACEB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14:paraId="25538C3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14:paraId="1137C3F9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365E9B2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17C31B06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32F061F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14:paraId="4AEBF236" w14:textId="77777777"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14:paraId="58B7F083" w14:textId="77777777"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14:paraId="4BCA7803" w14:textId="77777777"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14:paraId="316AF5DD" w14:textId="77777777"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14:paraId="6F66F2E7" w14:textId="77777777"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14:paraId="5B817D08" w14:textId="77777777"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11A67227" w14:textId="77777777"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3975F844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14:paraId="7DC22815" w14:textId="77777777"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- Rachunek zysków i strat bez uwzględniania projektu;</w:t>
      </w:r>
    </w:p>
    <w:p w14:paraId="1C88B69A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14:paraId="43D1E6EB" w14:textId="77777777"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14:paraId="6694AF51" w14:textId="77777777"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7116B07B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E7D5AC5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A0FE33F" w14:textId="77777777"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14:paraId="4E8DE41E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lastRenderedPageBreak/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14:paraId="34753308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14:paraId="0F339579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14:paraId="48F9F515" w14:textId="77777777"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83C1453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73E48AFE" w14:textId="77777777"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14:paraId="21B5201F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C9E03D4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505A932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15389A17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77C1D4D" w14:textId="77777777"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EE9C" w14:textId="77777777" w:rsidR="00F05773" w:rsidRPr="00F05773" w:rsidRDefault="00F05773" w:rsidP="005434C6">
      <w:pPr>
        <w:pStyle w:val="Nagwek2"/>
      </w:pPr>
      <w:bookmarkStart w:id="13" w:name="_Toc168059091"/>
      <w:r w:rsidRPr="00F05773">
        <w:lastRenderedPageBreak/>
        <w:t>Informacje podstawowe.</w:t>
      </w:r>
      <w:bookmarkEnd w:id="13"/>
    </w:p>
    <w:p w14:paraId="66DAB621" w14:textId="77777777"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F89F98F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1B37E088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14:paraId="49AD855E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14:paraId="20E23753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14:paraId="21712C44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14:paraId="0DBC00A0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14:paraId="0070BE64" w14:textId="77777777"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0044A1A7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14:paraId="63FA344C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14:paraId="10B52888" w14:textId="77777777" w:rsidR="00F05773" w:rsidRPr="00F05773" w:rsidRDefault="00F05773" w:rsidP="005434C6">
      <w:pPr>
        <w:pStyle w:val="Nagwek2"/>
      </w:pPr>
      <w:bookmarkStart w:id="14" w:name="_Toc168059092"/>
      <w:r w:rsidRPr="00F05773">
        <w:t>Tabela 1. Bilans bez uwzględnienia projektu.</w:t>
      </w:r>
      <w:bookmarkEnd w:id="14"/>
    </w:p>
    <w:p w14:paraId="10E09A1D" w14:textId="77777777"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13850090" w14:textId="77777777"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7073465D" w14:textId="77777777"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115F448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Wartości niematerialne i prawne – zgodnie ze sprawozdaniami finansowymi,</w:t>
      </w:r>
    </w:p>
    <w:p w14:paraId="0ED430A2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D5A5E8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0EEA9E7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9CF1C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79749F46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A0F3E3D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05D35CB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1899897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553A722A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3E3AA55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6AE63D57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1DCC3608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3E419B7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 tym krótkoterminowe rozliczenia międzyokresowe – czynne, zgodnie ze sprawozdaniami finansowymi, dotyczące rozliczeń przyszłych 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14:paraId="75F5CD7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71D73E2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6977E00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6DACE4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032944A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613C7F7B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Rezerwy na zobowiązania – zgodnie ze sprawozdaniami finansowymi,</w:t>
      </w:r>
    </w:p>
    <w:p w14:paraId="68F37B55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5FCF61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31CBA65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6CB81C6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6E27B233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3EC53A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1C52E52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332D995B" w14:textId="77777777" w:rsidR="00F05773" w:rsidRPr="00F05773" w:rsidRDefault="00F05773" w:rsidP="005434C6">
      <w:pPr>
        <w:pStyle w:val="Nagwek2"/>
      </w:pPr>
      <w:bookmarkStart w:id="15" w:name="_Toc168059093"/>
      <w:r w:rsidRPr="00F05773">
        <w:t>Tabela 2. Rachunek zysków i strat bez uwzględnienia projektu.</w:t>
      </w:r>
      <w:bookmarkEnd w:id="15"/>
    </w:p>
    <w:p w14:paraId="7760F486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5D91A8EC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380A4378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7CCB3559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1ACA809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5B49C17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5CD4F9C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717EC51E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275D05D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Zużycie materiałów i energii – zgodnie ze sprawozdaniami finansowymi,</w:t>
      </w:r>
    </w:p>
    <w:p w14:paraId="36B5B8F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7486780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65B6C41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8E48D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008DB58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5778D55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9CCB9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073B1728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00F40EF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2DEE940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B1FE9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2B813D6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od kredytów i pożyczek,</w:t>
      </w:r>
    </w:p>
    <w:p w14:paraId="181DD713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4BD0C1A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22A18895" w14:textId="77777777"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2A018FC0" w14:textId="77777777" w:rsidR="00F05773" w:rsidRPr="00F05773" w:rsidRDefault="00F05773" w:rsidP="005434C6">
      <w:pPr>
        <w:pStyle w:val="Nagwek2"/>
      </w:pPr>
      <w:bookmarkStart w:id="16" w:name="_Toc168059094"/>
      <w:r w:rsidRPr="00F05773">
        <w:t>Tabela 3. Rachunek przepływów pieniężnych bez uwzględnienia projektu.</w:t>
      </w:r>
      <w:bookmarkEnd w:id="16"/>
    </w:p>
    <w:p w14:paraId="18F4878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7FF0FAA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14:paraId="0F08E89E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3D0B29D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8611A3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</w:t>
      </w:r>
      <w:r w:rsidR="00F05773" w:rsidRPr="008D2A37">
        <w:rPr>
          <w:rFonts w:ascii="Arial" w:hAnsi="Arial" w:cs="Arial"/>
          <w:sz w:val="24"/>
          <w:szCs w:val="24"/>
        </w:rPr>
        <w:t>mortyzację,</w:t>
      </w:r>
    </w:p>
    <w:p w14:paraId="20384A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2A90425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zapasów, </w:t>
      </w:r>
    </w:p>
    <w:p w14:paraId="7B4DAB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należności, </w:t>
      </w:r>
    </w:p>
    <w:p w14:paraId="6DBAC63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14:paraId="31531A34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 korekty.</w:t>
      </w:r>
    </w:p>
    <w:p w14:paraId="5C20F7DC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14:paraId="77D18AE2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3CCA09BF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14:paraId="2DE4B1C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39855E3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inwestycyjne,</w:t>
      </w:r>
    </w:p>
    <w:p w14:paraId="4C7C1090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4E944113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8914AC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aktywa finansowe,</w:t>
      </w:r>
    </w:p>
    <w:p w14:paraId="68EF463B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inwestycyjne,</w:t>
      </w:r>
    </w:p>
    <w:p w14:paraId="3E662245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6F3D8CED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14:paraId="275454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 i pożyczki,</w:t>
      </w:r>
    </w:p>
    <w:p w14:paraId="6939102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otacje,</w:t>
      </w:r>
    </w:p>
    <w:p w14:paraId="4D2D877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finansowe,</w:t>
      </w:r>
    </w:p>
    <w:p w14:paraId="66B32EF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31D4C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 kredytów i pożyczek:</w:t>
      </w:r>
    </w:p>
    <w:p w14:paraId="160B3472" w14:textId="77777777"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w tym długoterminowych,</w:t>
      </w:r>
    </w:p>
    <w:p w14:paraId="46E7AA4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finansowe,</w:t>
      </w:r>
    </w:p>
    <w:p w14:paraId="407BF408" w14:textId="77777777"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6E4D9E03" w14:textId="77777777" w:rsidR="00F05773" w:rsidRPr="00F05773" w:rsidRDefault="00F05773" w:rsidP="005434C6">
      <w:pPr>
        <w:pStyle w:val="Nagwek2"/>
      </w:pPr>
      <w:bookmarkStart w:id="17" w:name="_Toc168059095"/>
      <w:r w:rsidRPr="00F05773">
        <w:t>Tabela 4. Analiza wskaźnikowa bez uwzględnienia projektu.</w:t>
      </w:r>
      <w:bookmarkEnd w:id="17"/>
    </w:p>
    <w:p w14:paraId="32B3C164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14:paraId="350EED2D" w14:textId="77777777" w:rsidR="00F05773" w:rsidRPr="00F05773" w:rsidRDefault="00F05773" w:rsidP="005434C6">
      <w:pPr>
        <w:pStyle w:val="Nagwek2"/>
      </w:pPr>
      <w:bookmarkStart w:id="18" w:name="_Toc168059096"/>
      <w:r w:rsidRPr="00F05773">
        <w:t>Tabela 5. Bilans uproszczony bez uwzględnienia projektu.</w:t>
      </w:r>
      <w:bookmarkEnd w:id="18"/>
    </w:p>
    <w:p w14:paraId="18AD94A4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562C2162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14:paraId="76098337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5FBD44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90BBF60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ieruchomości,</w:t>
      </w:r>
    </w:p>
    <w:p w14:paraId="22B98AF6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 i urządzeń,</w:t>
      </w:r>
    </w:p>
    <w:p w14:paraId="4314C4FA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 transportu,</w:t>
      </w:r>
    </w:p>
    <w:p w14:paraId="0ED57AD9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nnych.</w:t>
      </w:r>
    </w:p>
    <w:p w14:paraId="2ED68A02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14:paraId="77794AE3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14:paraId="033AD058" w14:textId="77777777"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14:paraId="02576669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E008497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14:paraId="24EB796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789D53FC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14:paraId="46ABD625" w14:textId="77777777"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9431CFC" w14:textId="77777777" w:rsidR="00F05773" w:rsidRPr="00F05773" w:rsidRDefault="00F05773" w:rsidP="005434C6">
      <w:pPr>
        <w:pStyle w:val="Nagwek2"/>
      </w:pPr>
      <w:bookmarkStart w:id="19" w:name="_Toc168059097"/>
      <w:r w:rsidRPr="00F05773">
        <w:t>Tabela 6. Rachunek zysków i strat uproszczony bez uwzględnienia projektu.</w:t>
      </w:r>
      <w:bookmarkEnd w:id="19"/>
    </w:p>
    <w:p w14:paraId="2EBBDDB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7834A996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175ADAFA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14:paraId="138F697D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7FCE8A84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31A4ED4E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1F308CD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 towarów handlowych i materiałów,</w:t>
      </w:r>
    </w:p>
    <w:p w14:paraId="24982D90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uboczne zakupu,</w:t>
      </w:r>
    </w:p>
    <w:p w14:paraId="7D18A0C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reprezentacji i reklamy objęte limitem,</w:t>
      </w:r>
    </w:p>
    <w:p w14:paraId="34DD370E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 z narzutami,</w:t>
      </w:r>
    </w:p>
    <w:p w14:paraId="2595EDA1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 wydatki, w tym:</w:t>
      </w:r>
    </w:p>
    <w:p w14:paraId="03C9EF4A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amortyzację,</w:t>
      </w:r>
    </w:p>
    <w:p w14:paraId="74EDAD64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odsetki od kredytów,</w:t>
      </w:r>
    </w:p>
    <w:p w14:paraId="5D21C86B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[+]/spadek stanu zapasów [-]),</w:t>
      </w:r>
    </w:p>
    <w:p w14:paraId="74128AB5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początkowy,</w:t>
      </w:r>
    </w:p>
    <w:p w14:paraId="066039CB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końcowy,</w:t>
      </w:r>
    </w:p>
    <w:p w14:paraId="3495D3EC" w14:textId="77777777"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72EFE0E5" w14:textId="77777777" w:rsidR="00F05773" w:rsidRPr="00F05773" w:rsidRDefault="00F05773" w:rsidP="005434C6">
      <w:pPr>
        <w:pStyle w:val="Nagwek2"/>
      </w:pPr>
      <w:bookmarkStart w:id="20" w:name="_Toc168059098"/>
      <w:r w:rsidRPr="00F05773">
        <w:lastRenderedPageBreak/>
        <w:t>Tabela 7. Analiza wskaźnikowa uproszczona bez uwzględnienia projektu.</w:t>
      </w:r>
      <w:bookmarkEnd w:id="20"/>
    </w:p>
    <w:p w14:paraId="77939B10" w14:textId="04425F2E" w:rsidR="00F05773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p w14:paraId="014A2455" w14:textId="1460825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5574CC39" w14:textId="7CCB87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724B004" w14:textId="4581514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D1924F6" w14:textId="18AB9C0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A8C9368" w14:textId="4DFFA35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32B3BE4" w14:textId="0CA5858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4FF5A03" w14:textId="132D0F1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2A9A633" w14:textId="0159C42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BC5D20B" w14:textId="1F17E8B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3473EBE" w14:textId="0F3EFAC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288D5E" w14:textId="74C45BDC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C050BEC" w14:textId="58A720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E871DE0" w14:textId="4091D6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5CF27A4" w14:textId="67309F02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F510729" w14:textId="728C9E4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7A05F89" w14:textId="7E7DD38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C28A3D5" w14:textId="7E21E86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DEE428" w14:textId="02E3B9DD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5DF2FA" w14:textId="303F5AA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985B6ED" w14:textId="69C7580B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F8995CF" w14:textId="7C44EAA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AEC1629" w14:textId="4E1B13F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FD9A1F3" w14:textId="5B26E27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DCA9404" w14:textId="5F9D64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42FDB91" w14:textId="2B07292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CC1E6ED" w14:textId="45C4E950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E378C63" w14:textId="24118224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EBA6031" w14:textId="5F090BB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139337A" w14:textId="77777777" w:rsidR="005651EB" w:rsidRPr="008D2A37" w:rsidRDefault="005651EB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sectPr w:rsidR="005651EB" w:rsidRPr="008D2A37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D0AD9" w14:textId="77777777"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14:paraId="06287531" w14:textId="77777777"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7234605"/>
      <w:docPartObj>
        <w:docPartGallery w:val="Page Numbers (Bottom of Page)"/>
        <w:docPartUnique/>
      </w:docPartObj>
    </w:sdtPr>
    <w:sdtEndPr/>
    <w:sdtContent>
      <w:p w14:paraId="67D90BF9" w14:textId="63EF359F"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135">
          <w:rPr>
            <w:noProof/>
          </w:rPr>
          <w:t>24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A7F9" w14:textId="77777777"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14:paraId="185987FD" w14:textId="77777777"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14:paraId="36468101" w14:textId="77777777"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14:paraId="49CFCC7E" w14:textId="77777777"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4376B" w14:textId="55CB06AC" w:rsidR="0031762D" w:rsidRDefault="00807D5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CBE0C1" wp14:editId="2016F865">
          <wp:simplePos x="0" y="0"/>
          <wp:positionH relativeFrom="margin">
            <wp:posOffset>-245533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4A41"/>
    <w:multiLevelType w:val="hybridMultilevel"/>
    <w:tmpl w:val="99E4539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2A76D4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5" w15:restartNumberingAfterBreak="0">
    <w:nsid w:val="10B63E29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F603ED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9144BD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10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7D16CD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E4E7315"/>
    <w:multiLevelType w:val="hybridMultilevel"/>
    <w:tmpl w:val="AE3CCF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5C179A"/>
    <w:multiLevelType w:val="hybridMultilevel"/>
    <w:tmpl w:val="4ABA1354"/>
    <w:lvl w:ilvl="0" w:tplc="3A646D7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08151A"/>
    <w:multiLevelType w:val="hybridMultilevel"/>
    <w:tmpl w:val="AD4E182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6564F"/>
    <w:multiLevelType w:val="hybridMultilevel"/>
    <w:tmpl w:val="D4682066"/>
    <w:lvl w:ilvl="0" w:tplc="2D9ADB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37C8A"/>
    <w:multiLevelType w:val="hybridMultilevel"/>
    <w:tmpl w:val="411648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2"/>
  </w:num>
  <w:num w:numId="3">
    <w:abstractNumId w:val="14"/>
  </w:num>
  <w:num w:numId="4">
    <w:abstractNumId w:val="24"/>
  </w:num>
  <w:num w:numId="5">
    <w:abstractNumId w:val="23"/>
  </w:num>
  <w:num w:numId="6">
    <w:abstractNumId w:val="25"/>
  </w:num>
  <w:num w:numId="7">
    <w:abstractNumId w:val="31"/>
  </w:num>
  <w:num w:numId="8">
    <w:abstractNumId w:val="34"/>
  </w:num>
  <w:num w:numId="9">
    <w:abstractNumId w:val="20"/>
  </w:num>
  <w:num w:numId="10">
    <w:abstractNumId w:val="1"/>
  </w:num>
  <w:num w:numId="11">
    <w:abstractNumId w:val="26"/>
  </w:num>
  <w:num w:numId="12">
    <w:abstractNumId w:val="17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</w:num>
  <w:num w:numId="19">
    <w:abstractNumId w:val="29"/>
  </w:num>
  <w:num w:numId="20">
    <w:abstractNumId w:val="19"/>
  </w:num>
  <w:num w:numId="21">
    <w:abstractNumId w:val="10"/>
  </w:num>
  <w:num w:numId="22">
    <w:abstractNumId w:val="33"/>
  </w:num>
  <w:num w:numId="23">
    <w:abstractNumId w:val="13"/>
  </w:num>
  <w:num w:numId="24">
    <w:abstractNumId w:val="15"/>
  </w:num>
  <w:num w:numId="25">
    <w:abstractNumId w:val="3"/>
  </w:num>
  <w:num w:numId="26">
    <w:abstractNumId w:val="35"/>
  </w:num>
  <w:num w:numId="27">
    <w:abstractNumId w:val="12"/>
  </w:num>
  <w:num w:numId="28">
    <w:abstractNumId w:val="6"/>
  </w:num>
  <w:num w:numId="29">
    <w:abstractNumId w:val="7"/>
  </w:num>
  <w:num w:numId="30">
    <w:abstractNumId w:val="9"/>
  </w:num>
  <w:num w:numId="31">
    <w:abstractNumId w:val="16"/>
  </w:num>
  <w:num w:numId="32">
    <w:abstractNumId w:val="5"/>
  </w:num>
  <w:num w:numId="33">
    <w:abstractNumId w:val="30"/>
  </w:num>
  <w:num w:numId="34">
    <w:abstractNumId w:val="18"/>
  </w:num>
  <w:num w:numId="35">
    <w:abstractNumId w:val="27"/>
  </w:num>
  <w:num w:numId="36">
    <w:abstractNumId w:val="21"/>
  </w:num>
  <w:num w:numId="37">
    <w:abstractNumId w:val="2"/>
  </w:num>
  <w:num w:numId="38">
    <w:abstractNumId w:val="8"/>
  </w:num>
  <w:num w:numId="3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readOnly" w:formatting="1" w:enforcement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3D0"/>
    <w:rsid w:val="000029AB"/>
    <w:rsid w:val="000C4AE2"/>
    <w:rsid w:val="00110736"/>
    <w:rsid w:val="00111FC4"/>
    <w:rsid w:val="00202D9C"/>
    <w:rsid w:val="00234699"/>
    <w:rsid w:val="002532FD"/>
    <w:rsid w:val="00286E29"/>
    <w:rsid w:val="002A7E5B"/>
    <w:rsid w:val="002C02B9"/>
    <w:rsid w:val="002D7E2D"/>
    <w:rsid w:val="0031762D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031C1"/>
    <w:rsid w:val="0054190B"/>
    <w:rsid w:val="00541A04"/>
    <w:rsid w:val="005434C6"/>
    <w:rsid w:val="005651EB"/>
    <w:rsid w:val="0058330E"/>
    <w:rsid w:val="00585CE6"/>
    <w:rsid w:val="0058644E"/>
    <w:rsid w:val="005877CC"/>
    <w:rsid w:val="005A0E5B"/>
    <w:rsid w:val="00600F43"/>
    <w:rsid w:val="00640710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07D57"/>
    <w:rsid w:val="00867DC2"/>
    <w:rsid w:val="0088546D"/>
    <w:rsid w:val="008B6143"/>
    <w:rsid w:val="008D2A37"/>
    <w:rsid w:val="008E55B6"/>
    <w:rsid w:val="00931897"/>
    <w:rsid w:val="00A15BCC"/>
    <w:rsid w:val="00A21223"/>
    <w:rsid w:val="00A7355C"/>
    <w:rsid w:val="00AA02A8"/>
    <w:rsid w:val="00AD1415"/>
    <w:rsid w:val="00AD3747"/>
    <w:rsid w:val="00B16135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14E65"/>
    <w:rsid w:val="00E53AA1"/>
    <w:rsid w:val="00E60DF8"/>
    <w:rsid w:val="00EC1B9A"/>
    <w:rsid w:val="00EC6185"/>
    <w:rsid w:val="00F05773"/>
    <w:rsid w:val="00F35946"/>
    <w:rsid w:val="00F36C7B"/>
    <w:rsid w:val="00F66B69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6F5067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4BA6D-FB1A-44E1-A25E-2448C8356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27</Pages>
  <Words>5534</Words>
  <Characters>33205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38662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Agata Kiszałkiewicz</cp:lastModifiedBy>
  <cp:revision>12</cp:revision>
  <dcterms:created xsi:type="dcterms:W3CDTF">2023-06-15T13:21:00Z</dcterms:created>
  <dcterms:modified xsi:type="dcterms:W3CDTF">2025-01-28T10:26:00Z</dcterms:modified>
</cp:coreProperties>
</file>